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952"/>
        <w:gridCol w:w="829"/>
        <w:gridCol w:w="725"/>
        <w:gridCol w:w="429"/>
        <w:gridCol w:w="579"/>
        <w:gridCol w:w="589"/>
        <w:gridCol w:w="485"/>
        <w:gridCol w:w="488"/>
      </w:tblGrid>
      <w:tr w:rsidR="00053152" w:rsidRPr="001B2E36" w14:paraId="6C0AE083" w14:textId="77777777" w:rsidTr="00EC6EEC">
        <w:trPr>
          <w:trHeight w:val="336"/>
          <w:jc w:val="center"/>
        </w:trPr>
        <w:tc>
          <w:tcPr>
            <w:tcW w:w="0" w:type="auto"/>
            <w:tcBorders>
              <w:top w:val="single" w:sz="4" w:space="0" w:color="auto"/>
              <w:left w:val="nil"/>
              <w:bottom w:val="nil"/>
              <w:right w:val="nil"/>
            </w:tcBorders>
            <w:shd w:val="clear" w:color="auto" w:fill="auto"/>
            <w:noWrap/>
            <w:vAlign w:val="center"/>
            <w:hideMark/>
          </w:tcPr>
          <w:p w14:paraId="1ECEF235" w14:textId="77777777" w:rsidR="00053152" w:rsidRPr="001B2E36" w:rsidRDefault="00993A02" w:rsidP="005E7E6E">
            <w:pPr>
              <w:spacing w:after="0" w:line="360" w:lineRule="auto"/>
              <w:jc w:val="center"/>
              <w:rPr>
                <w:rFonts w:eastAsia="Times New Roman" w:cs="Arial"/>
                <w:b/>
                <w:bCs/>
                <w:color w:val="000000"/>
                <w:sz w:val="24"/>
                <w:szCs w:val="20"/>
                <w:lang w:eastAsia="en-GB"/>
              </w:rPr>
            </w:pPr>
            <w:r w:rsidRPr="001B2E36">
              <w:rPr>
                <w:rFonts w:eastAsia="Times New Roman" w:cs="Arial"/>
                <w:b/>
                <w:bCs/>
                <w:color w:val="000000"/>
                <w:sz w:val="24"/>
                <w:szCs w:val="20"/>
                <w:lang w:eastAsia="en-GB"/>
              </w:rPr>
              <w:fldChar w:fldCharType="begin"/>
            </w:r>
            <w:r w:rsidR="005E7E6E" w:rsidRPr="001B2E36">
              <w:rPr>
                <w:rFonts w:eastAsia="Times New Roman" w:cs="Arial"/>
                <w:b/>
                <w:bCs/>
                <w:color w:val="000000"/>
                <w:sz w:val="24"/>
                <w:szCs w:val="20"/>
                <w:lang w:eastAsia="en-GB"/>
              </w:rPr>
              <w:instrText xml:space="preserve"> MACROBUTTON MTEditEquationSection2 </w:instrText>
            </w:r>
            <w:r w:rsidR="005E7E6E" w:rsidRPr="001B2E36">
              <w:rPr>
                <w:rStyle w:val="MTEquationSection"/>
                <w:rFonts w:asciiTheme="minorHAnsi" w:eastAsiaTheme="minorHAnsi" w:hAnsiTheme="minorHAnsi"/>
                <w:sz w:val="24"/>
              </w:rPr>
              <w:instrText>Equation Chapter 1 Section 1</w:instrText>
            </w:r>
            <w:r w:rsidRPr="001B2E36">
              <w:rPr>
                <w:rFonts w:eastAsia="Times New Roman" w:cs="Arial"/>
                <w:b/>
                <w:bCs/>
                <w:color w:val="000000"/>
                <w:sz w:val="24"/>
                <w:szCs w:val="20"/>
                <w:lang w:eastAsia="en-GB"/>
              </w:rPr>
              <w:fldChar w:fldCharType="begin"/>
            </w:r>
            <w:r w:rsidR="005E7E6E" w:rsidRPr="001B2E36">
              <w:rPr>
                <w:rFonts w:eastAsia="Times New Roman" w:cs="Arial"/>
                <w:b/>
                <w:bCs/>
                <w:color w:val="000000"/>
                <w:sz w:val="24"/>
                <w:szCs w:val="20"/>
                <w:lang w:eastAsia="en-GB"/>
              </w:rPr>
              <w:instrText xml:space="preserve"> SEQ MTEqn \r \h \* MERGEFORMAT </w:instrText>
            </w:r>
            <w:r w:rsidRPr="001B2E36">
              <w:rPr>
                <w:rFonts w:eastAsia="Times New Roman" w:cs="Arial"/>
                <w:b/>
                <w:bCs/>
                <w:color w:val="000000"/>
                <w:sz w:val="24"/>
                <w:szCs w:val="20"/>
                <w:lang w:eastAsia="en-GB"/>
              </w:rPr>
              <w:fldChar w:fldCharType="end"/>
            </w:r>
            <w:r w:rsidRPr="001B2E36">
              <w:rPr>
                <w:rFonts w:eastAsia="Times New Roman" w:cs="Arial"/>
                <w:b/>
                <w:bCs/>
                <w:color w:val="000000"/>
                <w:sz w:val="24"/>
                <w:szCs w:val="20"/>
                <w:lang w:eastAsia="en-GB"/>
              </w:rPr>
              <w:fldChar w:fldCharType="begin"/>
            </w:r>
            <w:r w:rsidR="005E7E6E" w:rsidRPr="001B2E36">
              <w:rPr>
                <w:rFonts w:eastAsia="Times New Roman" w:cs="Arial"/>
                <w:b/>
                <w:bCs/>
                <w:color w:val="000000"/>
                <w:sz w:val="24"/>
                <w:szCs w:val="20"/>
                <w:lang w:eastAsia="en-GB"/>
              </w:rPr>
              <w:instrText xml:space="preserve"> SEQ MTSec \r 1 \h \* MERGEFORMAT </w:instrText>
            </w:r>
            <w:r w:rsidRPr="001B2E36">
              <w:rPr>
                <w:rFonts w:eastAsia="Times New Roman" w:cs="Arial"/>
                <w:b/>
                <w:bCs/>
                <w:color w:val="000000"/>
                <w:sz w:val="24"/>
                <w:szCs w:val="20"/>
                <w:lang w:eastAsia="en-GB"/>
              </w:rPr>
              <w:fldChar w:fldCharType="end"/>
            </w:r>
            <w:r w:rsidRPr="001B2E36">
              <w:rPr>
                <w:rFonts w:eastAsia="Times New Roman" w:cs="Arial"/>
                <w:b/>
                <w:bCs/>
                <w:color w:val="000000"/>
                <w:sz w:val="24"/>
                <w:szCs w:val="20"/>
                <w:lang w:eastAsia="en-GB"/>
              </w:rPr>
              <w:fldChar w:fldCharType="begin"/>
            </w:r>
            <w:r w:rsidR="005E7E6E" w:rsidRPr="001B2E36">
              <w:rPr>
                <w:rFonts w:eastAsia="Times New Roman" w:cs="Arial"/>
                <w:b/>
                <w:bCs/>
                <w:color w:val="000000"/>
                <w:sz w:val="24"/>
                <w:szCs w:val="20"/>
                <w:lang w:eastAsia="en-GB"/>
              </w:rPr>
              <w:instrText xml:space="preserve"> SEQ MTChap \r 1 \h \* MERGEFORMAT </w:instrText>
            </w:r>
            <w:r w:rsidRPr="001B2E36">
              <w:rPr>
                <w:rFonts w:eastAsia="Times New Roman" w:cs="Arial"/>
                <w:b/>
                <w:bCs/>
                <w:color w:val="000000"/>
                <w:sz w:val="24"/>
                <w:szCs w:val="20"/>
                <w:lang w:eastAsia="en-GB"/>
              </w:rPr>
              <w:fldChar w:fldCharType="end"/>
            </w:r>
            <w:r w:rsidRPr="001B2E36">
              <w:rPr>
                <w:rFonts w:eastAsia="Times New Roman" w:cs="Arial"/>
                <w:b/>
                <w:bCs/>
                <w:color w:val="000000"/>
                <w:sz w:val="24"/>
                <w:szCs w:val="20"/>
                <w:lang w:eastAsia="en-GB"/>
              </w:rPr>
              <w:fldChar w:fldCharType="end"/>
            </w:r>
            <w:r w:rsidR="00053152" w:rsidRPr="001B2E36">
              <w:rPr>
                <w:rFonts w:eastAsia="Times New Roman" w:cs="Arial"/>
                <w:b/>
                <w:bCs/>
                <w:color w:val="000000"/>
                <w:sz w:val="24"/>
                <w:szCs w:val="20"/>
                <w:lang w:eastAsia="en-GB"/>
              </w:rPr>
              <w:t>Sample</w:t>
            </w:r>
          </w:p>
        </w:tc>
        <w:tc>
          <w:tcPr>
            <w:tcW w:w="0" w:type="auto"/>
            <w:tcBorders>
              <w:top w:val="single" w:sz="4" w:space="0" w:color="auto"/>
              <w:left w:val="nil"/>
              <w:bottom w:val="nil"/>
              <w:right w:val="nil"/>
            </w:tcBorders>
            <w:shd w:val="clear" w:color="auto" w:fill="auto"/>
            <w:noWrap/>
            <w:vAlign w:val="center"/>
            <w:hideMark/>
          </w:tcPr>
          <w:p w14:paraId="042E95DA" w14:textId="77777777" w:rsidR="00053152" w:rsidRPr="001B2E36" w:rsidRDefault="00053152" w:rsidP="006B1ADB">
            <w:pPr>
              <w:spacing w:after="0" w:line="360" w:lineRule="auto"/>
              <w:jc w:val="center"/>
              <w:rPr>
                <w:rFonts w:eastAsia="Times New Roman" w:cs="Arial"/>
                <w:b/>
                <w:bCs/>
                <w:color w:val="000000"/>
                <w:sz w:val="24"/>
                <w:szCs w:val="20"/>
                <w:lang w:eastAsia="en-GB"/>
              </w:rPr>
            </w:pPr>
            <w:r w:rsidRPr="001B2E36">
              <w:rPr>
                <w:rFonts w:eastAsia="Times New Roman" w:cs="Arial"/>
                <w:b/>
                <w:bCs/>
                <w:color w:val="000000"/>
                <w:sz w:val="24"/>
                <w:szCs w:val="20"/>
                <w:lang w:eastAsia="en-GB"/>
              </w:rPr>
              <w:t>Depth</w:t>
            </w:r>
          </w:p>
        </w:tc>
        <w:tc>
          <w:tcPr>
            <w:tcW w:w="0" w:type="auto"/>
            <w:gridSpan w:val="3"/>
            <w:tcBorders>
              <w:top w:val="single" w:sz="4" w:space="0" w:color="auto"/>
              <w:left w:val="nil"/>
              <w:bottom w:val="nil"/>
              <w:right w:val="nil"/>
            </w:tcBorders>
            <w:shd w:val="clear" w:color="auto" w:fill="auto"/>
            <w:noWrap/>
            <w:vAlign w:val="center"/>
            <w:hideMark/>
          </w:tcPr>
          <w:p w14:paraId="0A378153" w14:textId="77777777" w:rsidR="00053152" w:rsidRPr="001B2E36" w:rsidRDefault="00053152" w:rsidP="006B1ADB">
            <w:pPr>
              <w:spacing w:after="0" w:line="360" w:lineRule="auto"/>
              <w:jc w:val="center"/>
              <w:rPr>
                <w:rFonts w:eastAsia="Times New Roman" w:cs="Arial"/>
                <w:b/>
                <w:bCs/>
                <w:color w:val="000000"/>
                <w:sz w:val="24"/>
                <w:szCs w:val="20"/>
                <w:lang w:eastAsia="en-GB"/>
              </w:rPr>
            </w:pPr>
            <w:r w:rsidRPr="001B2E36">
              <w:rPr>
                <w:rFonts w:eastAsia="Times New Roman" w:cs="Arial"/>
                <w:b/>
                <w:bCs/>
                <w:color w:val="000000"/>
                <w:sz w:val="24"/>
                <w:szCs w:val="20"/>
                <w:vertAlign w:val="superscript"/>
                <w:lang w:eastAsia="en-GB"/>
              </w:rPr>
              <w:t>210</w:t>
            </w:r>
            <w:r w:rsidRPr="001B2E36">
              <w:rPr>
                <w:rFonts w:eastAsia="Times New Roman" w:cs="Arial"/>
                <w:b/>
                <w:bCs/>
                <w:color w:val="000000"/>
                <w:sz w:val="24"/>
                <w:szCs w:val="20"/>
                <w:lang w:eastAsia="en-GB"/>
              </w:rPr>
              <w:t>Pb</w:t>
            </w:r>
            <w:r w:rsidRPr="001B2E36">
              <w:rPr>
                <w:rFonts w:eastAsia="Times New Roman" w:cs="Arial"/>
                <w:b/>
                <w:bCs/>
                <w:color w:val="000000"/>
                <w:sz w:val="24"/>
                <w:szCs w:val="20"/>
                <w:vertAlign w:val="subscript"/>
                <w:lang w:eastAsia="en-GB"/>
              </w:rPr>
              <w:t>xs</w:t>
            </w:r>
            <w:r w:rsidRPr="001B2E36">
              <w:rPr>
                <w:rFonts w:eastAsia="Times New Roman" w:cs="Arial"/>
                <w:b/>
                <w:bCs/>
                <w:color w:val="000000"/>
                <w:sz w:val="24"/>
                <w:szCs w:val="20"/>
                <w:lang w:eastAsia="en-GB"/>
              </w:rPr>
              <w:t xml:space="preserve"> (</w:t>
            </w:r>
            <w:proofErr w:type="spellStart"/>
            <w:r w:rsidRPr="001B2E36">
              <w:rPr>
                <w:rFonts w:eastAsia="Times New Roman" w:cs="Arial"/>
                <w:b/>
                <w:bCs/>
                <w:color w:val="000000"/>
                <w:sz w:val="24"/>
                <w:szCs w:val="20"/>
                <w:lang w:eastAsia="en-GB"/>
              </w:rPr>
              <w:t>mBq</w:t>
            </w:r>
            <w:proofErr w:type="spellEnd"/>
            <w:r w:rsidRPr="001B2E36">
              <w:rPr>
                <w:rFonts w:eastAsia="Times New Roman" w:cs="Arial"/>
                <w:b/>
                <w:bCs/>
                <w:color w:val="000000"/>
                <w:sz w:val="24"/>
                <w:szCs w:val="20"/>
                <w:lang w:eastAsia="en-GB"/>
              </w:rPr>
              <w:t>/g)</w:t>
            </w:r>
          </w:p>
        </w:tc>
        <w:tc>
          <w:tcPr>
            <w:tcW w:w="0" w:type="auto"/>
            <w:gridSpan w:val="3"/>
            <w:tcBorders>
              <w:top w:val="single" w:sz="4" w:space="0" w:color="auto"/>
              <w:left w:val="nil"/>
              <w:bottom w:val="nil"/>
              <w:right w:val="nil"/>
            </w:tcBorders>
            <w:shd w:val="clear" w:color="auto" w:fill="auto"/>
            <w:noWrap/>
            <w:vAlign w:val="center"/>
            <w:hideMark/>
          </w:tcPr>
          <w:p w14:paraId="0E68F850" w14:textId="77777777" w:rsidR="00053152" w:rsidRPr="001B2E36" w:rsidRDefault="00053152" w:rsidP="006B1ADB">
            <w:pPr>
              <w:spacing w:after="0" w:line="360" w:lineRule="auto"/>
              <w:jc w:val="center"/>
              <w:rPr>
                <w:rFonts w:eastAsia="Times New Roman" w:cs="Arial"/>
                <w:b/>
                <w:bCs/>
                <w:color w:val="000000"/>
                <w:sz w:val="24"/>
                <w:szCs w:val="20"/>
                <w:lang w:eastAsia="en-GB"/>
              </w:rPr>
            </w:pPr>
            <w:r w:rsidRPr="001B2E36">
              <w:rPr>
                <w:rFonts w:eastAsia="Times New Roman" w:cs="Arial"/>
                <w:b/>
                <w:bCs/>
                <w:color w:val="000000"/>
                <w:sz w:val="24"/>
                <w:szCs w:val="20"/>
                <w:vertAlign w:val="superscript"/>
                <w:lang w:eastAsia="en-GB"/>
              </w:rPr>
              <w:t>137</w:t>
            </w:r>
            <w:r w:rsidRPr="001B2E36">
              <w:rPr>
                <w:rFonts w:eastAsia="Times New Roman" w:cs="Arial"/>
                <w:b/>
                <w:bCs/>
                <w:color w:val="000000"/>
                <w:sz w:val="24"/>
                <w:szCs w:val="20"/>
                <w:lang w:eastAsia="en-GB"/>
              </w:rPr>
              <w:t>Cs (</w:t>
            </w:r>
            <w:proofErr w:type="spellStart"/>
            <w:r w:rsidRPr="001B2E36">
              <w:rPr>
                <w:rFonts w:eastAsia="Times New Roman" w:cs="Arial"/>
                <w:b/>
                <w:bCs/>
                <w:color w:val="000000"/>
                <w:sz w:val="24"/>
                <w:szCs w:val="20"/>
                <w:lang w:eastAsia="en-GB"/>
              </w:rPr>
              <w:t>mBq</w:t>
            </w:r>
            <w:proofErr w:type="spellEnd"/>
            <w:r w:rsidRPr="001B2E36">
              <w:rPr>
                <w:rFonts w:eastAsia="Times New Roman" w:cs="Arial"/>
                <w:b/>
                <w:bCs/>
                <w:color w:val="000000"/>
                <w:sz w:val="24"/>
                <w:szCs w:val="20"/>
                <w:lang w:eastAsia="en-GB"/>
              </w:rPr>
              <w:t>/g)</w:t>
            </w:r>
          </w:p>
        </w:tc>
      </w:tr>
      <w:tr w:rsidR="00053152" w:rsidRPr="002B2D9C" w14:paraId="79D5E230" w14:textId="77777777" w:rsidTr="00EC6EEC">
        <w:trPr>
          <w:trHeight w:val="288"/>
          <w:jc w:val="center"/>
        </w:trPr>
        <w:tc>
          <w:tcPr>
            <w:tcW w:w="0" w:type="auto"/>
            <w:tcBorders>
              <w:top w:val="single" w:sz="4" w:space="0" w:color="auto"/>
              <w:left w:val="nil"/>
              <w:bottom w:val="nil"/>
              <w:right w:val="nil"/>
            </w:tcBorders>
            <w:shd w:val="clear" w:color="auto" w:fill="auto"/>
            <w:noWrap/>
            <w:vAlign w:val="center"/>
            <w:hideMark/>
          </w:tcPr>
          <w:p w14:paraId="7853FE6B" w14:textId="77777777" w:rsidR="00053152" w:rsidRPr="001B2E36" w:rsidRDefault="00053152" w:rsidP="006B1ADB">
            <w:pPr>
              <w:spacing w:after="0" w:line="360" w:lineRule="auto"/>
              <w:jc w:val="center"/>
              <w:rPr>
                <w:rFonts w:eastAsia="Times New Roman" w:cs="Arial"/>
                <w:i/>
                <w:iCs/>
                <w:color w:val="000000"/>
                <w:szCs w:val="20"/>
                <w:lang w:eastAsia="en-GB"/>
              </w:rPr>
            </w:pPr>
            <w:r w:rsidRPr="001B2E36">
              <w:rPr>
                <w:rFonts w:eastAsia="Times New Roman" w:cs="Arial"/>
                <w:i/>
                <w:iCs/>
                <w:color w:val="000000"/>
                <w:szCs w:val="20"/>
                <w:lang w:eastAsia="en-GB"/>
              </w:rPr>
              <w:t>Core 1</w:t>
            </w:r>
          </w:p>
        </w:tc>
        <w:tc>
          <w:tcPr>
            <w:tcW w:w="0" w:type="auto"/>
            <w:tcBorders>
              <w:top w:val="single" w:sz="4" w:space="0" w:color="auto"/>
              <w:left w:val="nil"/>
              <w:bottom w:val="nil"/>
              <w:right w:val="nil"/>
            </w:tcBorders>
            <w:shd w:val="clear" w:color="auto" w:fill="auto"/>
            <w:noWrap/>
            <w:vAlign w:val="center"/>
            <w:hideMark/>
          </w:tcPr>
          <w:p w14:paraId="49544063"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single" w:sz="4" w:space="0" w:color="auto"/>
              <w:left w:val="nil"/>
              <w:bottom w:val="nil"/>
              <w:right w:val="nil"/>
            </w:tcBorders>
            <w:shd w:val="clear" w:color="auto" w:fill="auto"/>
            <w:noWrap/>
            <w:vAlign w:val="center"/>
            <w:hideMark/>
          </w:tcPr>
          <w:p w14:paraId="4036F6FF"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single" w:sz="4" w:space="0" w:color="auto"/>
              <w:left w:val="nil"/>
              <w:bottom w:val="nil"/>
              <w:right w:val="nil"/>
            </w:tcBorders>
            <w:shd w:val="clear" w:color="auto" w:fill="auto"/>
            <w:noWrap/>
            <w:vAlign w:val="center"/>
            <w:hideMark/>
          </w:tcPr>
          <w:p w14:paraId="17AE7718"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single" w:sz="4" w:space="0" w:color="auto"/>
              <w:left w:val="nil"/>
              <w:bottom w:val="nil"/>
              <w:right w:val="nil"/>
            </w:tcBorders>
            <w:shd w:val="clear" w:color="auto" w:fill="auto"/>
            <w:noWrap/>
            <w:vAlign w:val="center"/>
            <w:hideMark/>
          </w:tcPr>
          <w:p w14:paraId="1B1BA11F" w14:textId="77777777" w:rsidR="00053152" w:rsidRPr="001B2E36" w:rsidRDefault="00053152" w:rsidP="006B1ADB">
            <w:pPr>
              <w:spacing w:after="0" w:line="360" w:lineRule="auto"/>
              <w:jc w:val="center"/>
              <w:rPr>
                <w:rFonts w:eastAsia="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center"/>
            <w:hideMark/>
          </w:tcPr>
          <w:p w14:paraId="0E00EE18"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single" w:sz="4" w:space="0" w:color="auto"/>
              <w:left w:val="nil"/>
              <w:bottom w:val="nil"/>
              <w:right w:val="nil"/>
            </w:tcBorders>
            <w:shd w:val="clear" w:color="auto" w:fill="auto"/>
            <w:noWrap/>
            <w:vAlign w:val="center"/>
            <w:hideMark/>
          </w:tcPr>
          <w:p w14:paraId="54BABB4D"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single" w:sz="4" w:space="0" w:color="auto"/>
              <w:left w:val="nil"/>
              <w:bottom w:val="nil"/>
              <w:right w:val="nil"/>
            </w:tcBorders>
            <w:shd w:val="clear" w:color="auto" w:fill="auto"/>
            <w:noWrap/>
            <w:vAlign w:val="center"/>
            <w:hideMark/>
          </w:tcPr>
          <w:p w14:paraId="1AB055BD" w14:textId="77777777" w:rsidR="00053152" w:rsidRPr="001B2E36" w:rsidRDefault="00053152" w:rsidP="006B1ADB">
            <w:pPr>
              <w:spacing w:after="0" w:line="360" w:lineRule="auto"/>
              <w:jc w:val="center"/>
              <w:rPr>
                <w:rFonts w:eastAsia="Times New Roman" w:cs="Times New Roman"/>
                <w:color w:val="000000"/>
                <w:lang w:eastAsia="en-GB"/>
              </w:rPr>
            </w:pPr>
          </w:p>
        </w:tc>
      </w:tr>
      <w:tr w:rsidR="00053152" w:rsidRPr="002B2D9C" w14:paraId="01E34165"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1D5343ED"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1E619193"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0.5</w:t>
            </w:r>
          </w:p>
        </w:tc>
        <w:tc>
          <w:tcPr>
            <w:tcW w:w="0" w:type="auto"/>
            <w:tcBorders>
              <w:top w:val="nil"/>
              <w:left w:val="nil"/>
              <w:bottom w:val="nil"/>
              <w:right w:val="nil"/>
            </w:tcBorders>
            <w:shd w:val="clear" w:color="auto" w:fill="auto"/>
            <w:noWrap/>
            <w:vAlign w:val="center"/>
            <w:hideMark/>
          </w:tcPr>
          <w:p w14:paraId="201A69E7"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101</w:t>
            </w:r>
          </w:p>
        </w:tc>
        <w:tc>
          <w:tcPr>
            <w:tcW w:w="0" w:type="auto"/>
            <w:tcBorders>
              <w:top w:val="nil"/>
              <w:left w:val="nil"/>
              <w:bottom w:val="nil"/>
              <w:right w:val="nil"/>
            </w:tcBorders>
            <w:shd w:val="clear" w:color="auto" w:fill="auto"/>
            <w:noWrap/>
            <w:vAlign w:val="center"/>
            <w:hideMark/>
          </w:tcPr>
          <w:p w14:paraId="305D90EB"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108D6496"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31</w:t>
            </w:r>
          </w:p>
        </w:tc>
        <w:tc>
          <w:tcPr>
            <w:tcW w:w="0" w:type="auto"/>
            <w:tcBorders>
              <w:top w:val="nil"/>
              <w:left w:val="nil"/>
              <w:bottom w:val="nil"/>
              <w:right w:val="nil"/>
            </w:tcBorders>
            <w:shd w:val="clear" w:color="auto" w:fill="auto"/>
            <w:noWrap/>
            <w:vAlign w:val="center"/>
            <w:hideMark/>
          </w:tcPr>
          <w:p w14:paraId="1B588079"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-2</w:t>
            </w:r>
          </w:p>
        </w:tc>
        <w:tc>
          <w:tcPr>
            <w:tcW w:w="0" w:type="auto"/>
            <w:tcBorders>
              <w:top w:val="nil"/>
              <w:left w:val="nil"/>
              <w:bottom w:val="nil"/>
              <w:right w:val="nil"/>
            </w:tcBorders>
            <w:shd w:val="clear" w:color="auto" w:fill="auto"/>
            <w:noWrap/>
            <w:vAlign w:val="center"/>
            <w:hideMark/>
          </w:tcPr>
          <w:p w14:paraId="2D455B5B"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58CE6AC7"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3</w:t>
            </w:r>
          </w:p>
        </w:tc>
      </w:tr>
      <w:tr w:rsidR="00053152" w:rsidRPr="002B2D9C" w14:paraId="7367CFC4"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06505ECA"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54512D79"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10.5</w:t>
            </w:r>
          </w:p>
        </w:tc>
        <w:tc>
          <w:tcPr>
            <w:tcW w:w="0" w:type="auto"/>
            <w:tcBorders>
              <w:top w:val="nil"/>
              <w:left w:val="nil"/>
              <w:bottom w:val="nil"/>
              <w:right w:val="nil"/>
            </w:tcBorders>
            <w:shd w:val="clear" w:color="auto" w:fill="auto"/>
            <w:noWrap/>
            <w:vAlign w:val="center"/>
            <w:hideMark/>
          </w:tcPr>
          <w:p w14:paraId="494A4D5E"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131</w:t>
            </w:r>
          </w:p>
        </w:tc>
        <w:tc>
          <w:tcPr>
            <w:tcW w:w="0" w:type="auto"/>
            <w:tcBorders>
              <w:top w:val="nil"/>
              <w:left w:val="nil"/>
              <w:bottom w:val="nil"/>
              <w:right w:val="nil"/>
            </w:tcBorders>
            <w:shd w:val="clear" w:color="auto" w:fill="auto"/>
            <w:noWrap/>
            <w:vAlign w:val="center"/>
            <w:hideMark/>
          </w:tcPr>
          <w:p w14:paraId="4286F893"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4EFAE8AE"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12</w:t>
            </w:r>
          </w:p>
        </w:tc>
        <w:tc>
          <w:tcPr>
            <w:tcW w:w="0" w:type="auto"/>
            <w:tcBorders>
              <w:top w:val="nil"/>
              <w:left w:val="nil"/>
              <w:bottom w:val="nil"/>
              <w:right w:val="nil"/>
            </w:tcBorders>
            <w:shd w:val="clear" w:color="auto" w:fill="auto"/>
            <w:noWrap/>
            <w:vAlign w:val="center"/>
            <w:hideMark/>
          </w:tcPr>
          <w:p w14:paraId="0ABD4DC8"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3</w:t>
            </w:r>
          </w:p>
        </w:tc>
        <w:tc>
          <w:tcPr>
            <w:tcW w:w="0" w:type="auto"/>
            <w:tcBorders>
              <w:top w:val="nil"/>
              <w:left w:val="nil"/>
              <w:bottom w:val="nil"/>
              <w:right w:val="nil"/>
            </w:tcBorders>
            <w:shd w:val="clear" w:color="auto" w:fill="auto"/>
            <w:noWrap/>
            <w:vAlign w:val="center"/>
            <w:hideMark/>
          </w:tcPr>
          <w:p w14:paraId="1B5D9AB8"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71054CFF"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r w:rsidR="00053152" w:rsidRPr="002B2D9C" w14:paraId="442C0BF7"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709A793A"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71299CFB"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21.5</w:t>
            </w:r>
          </w:p>
        </w:tc>
        <w:tc>
          <w:tcPr>
            <w:tcW w:w="0" w:type="auto"/>
            <w:tcBorders>
              <w:top w:val="nil"/>
              <w:left w:val="nil"/>
              <w:bottom w:val="nil"/>
              <w:right w:val="nil"/>
            </w:tcBorders>
            <w:shd w:val="clear" w:color="auto" w:fill="auto"/>
            <w:noWrap/>
            <w:vAlign w:val="center"/>
            <w:hideMark/>
          </w:tcPr>
          <w:p w14:paraId="64782D36"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88</w:t>
            </w:r>
          </w:p>
        </w:tc>
        <w:tc>
          <w:tcPr>
            <w:tcW w:w="0" w:type="auto"/>
            <w:tcBorders>
              <w:top w:val="nil"/>
              <w:left w:val="nil"/>
              <w:bottom w:val="nil"/>
              <w:right w:val="nil"/>
            </w:tcBorders>
            <w:shd w:val="clear" w:color="auto" w:fill="auto"/>
            <w:noWrap/>
            <w:vAlign w:val="center"/>
            <w:hideMark/>
          </w:tcPr>
          <w:p w14:paraId="716B5D56"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3EE89B96"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5</w:t>
            </w:r>
          </w:p>
        </w:tc>
        <w:tc>
          <w:tcPr>
            <w:tcW w:w="0" w:type="auto"/>
            <w:tcBorders>
              <w:top w:val="nil"/>
              <w:left w:val="nil"/>
              <w:bottom w:val="nil"/>
              <w:right w:val="nil"/>
            </w:tcBorders>
            <w:shd w:val="clear" w:color="auto" w:fill="auto"/>
            <w:noWrap/>
            <w:vAlign w:val="center"/>
            <w:hideMark/>
          </w:tcPr>
          <w:p w14:paraId="7CA5A055"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3</w:t>
            </w:r>
          </w:p>
        </w:tc>
        <w:tc>
          <w:tcPr>
            <w:tcW w:w="0" w:type="auto"/>
            <w:tcBorders>
              <w:top w:val="nil"/>
              <w:left w:val="nil"/>
              <w:bottom w:val="nil"/>
              <w:right w:val="nil"/>
            </w:tcBorders>
            <w:shd w:val="clear" w:color="auto" w:fill="auto"/>
            <w:noWrap/>
            <w:vAlign w:val="center"/>
            <w:hideMark/>
          </w:tcPr>
          <w:p w14:paraId="7904CAB8"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47E20023"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0</w:t>
            </w:r>
          </w:p>
        </w:tc>
      </w:tr>
      <w:tr w:rsidR="00053152" w:rsidRPr="002B2D9C" w14:paraId="34967225"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68D3E6FB"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24512CBD"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30.5</w:t>
            </w:r>
          </w:p>
        </w:tc>
        <w:tc>
          <w:tcPr>
            <w:tcW w:w="0" w:type="auto"/>
            <w:tcBorders>
              <w:top w:val="nil"/>
              <w:left w:val="nil"/>
              <w:bottom w:val="nil"/>
              <w:right w:val="nil"/>
            </w:tcBorders>
            <w:shd w:val="clear" w:color="auto" w:fill="auto"/>
            <w:noWrap/>
            <w:vAlign w:val="center"/>
            <w:hideMark/>
          </w:tcPr>
          <w:p w14:paraId="592E044F"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58</w:t>
            </w:r>
          </w:p>
        </w:tc>
        <w:tc>
          <w:tcPr>
            <w:tcW w:w="0" w:type="auto"/>
            <w:tcBorders>
              <w:top w:val="nil"/>
              <w:left w:val="nil"/>
              <w:bottom w:val="nil"/>
              <w:right w:val="nil"/>
            </w:tcBorders>
            <w:shd w:val="clear" w:color="auto" w:fill="auto"/>
            <w:noWrap/>
            <w:vAlign w:val="center"/>
            <w:hideMark/>
          </w:tcPr>
          <w:p w14:paraId="556826A3"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179F1030"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11</w:t>
            </w:r>
          </w:p>
        </w:tc>
        <w:tc>
          <w:tcPr>
            <w:tcW w:w="0" w:type="auto"/>
            <w:tcBorders>
              <w:top w:val="nil"/>
              <w:left w:val="nil"/>
              <w:bottom w:val="nil"/>
              <w:right w:val="nil"/>
            </w:tcBorders>
            <w:shd w:val="clear" w:color="auto" w:fill="auto"/>
            <w:noWrap/>
            <w:vAlign w:val="center"/>
            <w:hideMark/>
          </w:tcPr>
          <w:p w14:paraId="4C3CB42A"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4</w:t>
            </w:r>
          </w:p>
        </w:tc>
        <w:tc>
          <w:tcPr>
            <w:tcW w:w="0" w:type="auto"/>
            <w:tcBorders>
              <w:top w:val="nil"/>
              <w:left w:val="nil"/>
              <w:bottom w:val="nil"/>
              <w:right w:val="nil"/>
            </w:tcBorders>
            <w:shd w:val="clear" w:color="auto" w:fill="auto"/>
            <w:noWrap/>
            <w:vAlign w:val="center"/>
            <w:hideMark/>
          </w:tcPr>
          <w:p w14:paraId="4FD887F9"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40E537B2"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r w:rsidR="00053152" w:rsidRPr="002B2D9C" w14:paraId="6BC86B34"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0AA5BE0D" w14:textId="77777777" w:rsidR="00053152" w:rsidRPr="001B2E36" w:rsidRDefault="00053152" w:rsidP="006B1ADB">
            <w:pPr>
              <w:spacing w:after="0" w:line="360" w:lineRule="auto"/>
              <w:jc w:val="center"/>
              <w:rPr>
                <w:rFonts w:eastAsia="Times New Roman" w:cs="Arial"/>
                <w:i/>
                <w:iCs/>
                <w:color w:val="000000"/>
                <w:szCs w:val="20"/>
                <w:lang w:eastAsia="en-GB"/>
              </w:rPr>
            </w:pPr>
            <w:r w:rsidRPr="001B2E36">
              <w:rPr>
                <w:rFonts w:eastAsia="Times New Roman" w:cs="Arial"/>
                <w:i/>
                <w:iCs/>
                <w:color w:val="000000"/>
                <w:szCs w:val="20"/>
                <w:lang w:eastAsia="en-GB"/>
              </w:rPr>
              <w:t>Core 2</w:t>
            </w:r>
          </w:p>
        </w:tc>
        <w:tc>
          <w:tcPr>
            <w:tcW w:w="0" w:type="auto"/>
            <w:tcBorders>
              <w:top w:val="nil"/>
              <w:left w:val="nil"/>
              <w:bottom w:val="nil"/>
              <w:right w:val="nil"/>
            </w:tcBorders>
            <w:shd w:val="clear" w:color="auto" w:fill="auto"/>
            <w:noWrap/>
            <w:vAlign w:val="center"/>
            <w:hideMark/>
          </w:tcPr>
          <w:p w14:paraId="1378AC93"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1781518E" w14:textId="77777777" w:rsidR="00053152" w:rsidRPr="001B2E36" w:rsidRDefault="00053152" w:rsidP="006B1ADB">
            <w:pPr>
              <w:spacing w:after="0" w:line="360" w:lineRule="auto"/>
              <w:jc w:val="right"/>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5722795E"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6097019C" w14:textId="77777777" w:rsidR="00053152" w:rsidRPr="001B2E36" w:rsidRDefault="00053152" w:rsidP="006B1ADB">
            <w:pPr>
              <w:spacing w:after="0" w:line="360" w:lineRule="auto"/>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1C259E2F" w14:textId="77777777" w:rsidR="00053152" w:rsidRPr="001B2E36" w:rsidRDefault="00053152" w:rsidP="006B1ADB">
            <w:pPr>
              <w:spacing w:after="0" w:line="360" w:lineRule="auto"/>
              <w:jc w:val="right"/>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6A3222C0"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206C0A00" w14:textId="77777777" w:rsidR="00053152" w:rsidRPr="001B2E36" w:rsidRDefault="00053152" w:rsidP="006B1ADB">
            <w:pPr>
              <w:spacing w:after="0" w:line="360" w:lineRule="auto"/>
              <w:rPr>
                <w:rFonts w:eastAsia="Times New Roman" w:cs="Arial"/>
                <w:color w:val="000000"/>
                <w:szCs w:val="20"/>
                <w:lang w:eastAsia="en-GB"/>
              </w:rPr>
            </w:pPr>
          </w:p>
        </w:tc>
      </w:tr>
      <w:tr w:rsidR="00053152" w:rsidRPr="002B2D9C" w14:paraId="6D74A24C"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02C5957E"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7104AFF4"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1.5</w:t>
            </w:r>
          </w:p>
        </w:tc>
        <w:tc>
          <w:tcPr>
            <w:tcW w:w="0" w:type="auto"/>
            <w:tcBorders>
              <w:top w:val="nil"/>
              <w:left w:val="nil"/>
              <w:bottom w:val="nil"/>
              <w:right w:val="nil"/>
            </w:tcBorders>
            <w:shd w:val="clear" w:color="auto" w:fill="auto"/>
            <w:noWrap/>
            <w:vAlign w:val="center"/>
            <w:hideMark/>
          </w:tcPr>
          <w:p w14:paraId="5BDF11C9"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90</w:t>
            </w:r>
          </w:p>
        </w:tc>
        <w:tc>
          <w:tcPr>
            <w:tcW w:w="0" w:type="auto"/>
            <w:tcBorders>
              <w:top w:val="nil"/>
              <w:left w:val="nil"/>
              <w:bottom w:val="nil"/>
              <w:right w:val="nil"/>
            </w:tcBorders>
            <w:shd w:val="clear" w:color="auto" w:fill="auto"/>
            <w:noWrap/>
            <w:vAlign w:val="center"/>
            <w:hideMark/>
          </w:tcPr>
          <w:p w14:paraId="17BA3D64"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5ED1D1FC"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6</w:t>
            </w:r>
          </w:p>
        </w:tc>
        <w:tc>
          <w:tcPr>
            <w:tcW w:w="0" w:type="auto"/>
            <w:tcBorders>
              <w:top w:val="nil"/>
              <w:left w:val="nil"/>
              <w:bottom w:val="nil"/>
              <w:right w:val="nil"/>
            </w:tcBorders>
            <w:shd w:val="clear" w:color="auto" w:fill="auto"/>
            <w:noWrap/>
            <w:vAlign w:val="center"/>
            <w:hideMark/>
          </w:tcPr>
          <w:p w14:paraId="32719447"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3</w:t>
            </w:r>
          </w:p>
        </w:tc>
        <w:tc>
          <w:tcPr>
            <w:tcW w:w="0" w:type="auto"/>
            <w:tcBorders>
              <w:top w:val="nil"/>
              <w:left w:val="nil"/>
              <w:bottom w:val="nil"/>
              <w:right w:val="nil"/>
            </w:tcBorders>
            <w:shd w:val="clear" w:color="auto" w:fill="auto"/>
            <w:noWrap/>
            <w:vAlign w:val="center"/>
            <w:hideMark/>
          </w:tcPr>
          <w:p w14:paraId="4A523891"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4F50E52C"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0</w:t>
            </w:r>
          </w:p>
        </w:tc>
      </w:tr>
      <w:tr w:rsidR="00053152" w:rsidRPr="002B2D9C" w14:paraId="59E9B91C"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2E832B3B"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791E4661"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10.5</w:t>
            </w:r>
          </w:p>
        </w:tc>
        <w:tc>
          <w:tcPr>
            <w:tcW w:w="0" w:type="auto"/>
            <w:tcBorders>
              <w:top w:val="nil"/>
              <w:left w:val="nil"/>
              <w:bottom w:val="nil"/>
              <w:right w:val="nil"/>
            </w:tcBorders>
            <w:shd w:val="clear" w:color="auto" w:fill="auto"/>
            <w:noWrap/>
            <w:vAlign w:val="center"/>
            <w:hideMark/>
          </w:tcPr>
          <w:p w14:paraId="197EF02D"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80</w:t>
            </w:r>
          </w:p>
        </w:tc>
        <w:tc>
          <w:tcPr>
            <w:tcW w:w="0" w:type="auto"/>
            <w:tcBorders>
              <w:top w:val="nil"/>
              <w:left w:val="nil"/>
              <w:bottom w:val="nil"/>
              <w:right w:val="nil"/>
            </w:tcBorders>
            <w:shd w:val="clear" w:color="auto" w:fill="auto"/>
            <w:noWrap/>
            <w:vAlign w:val="center"/>
            <w:hideMark/>
          </w:tcPr>
          <w:p w14:paraId="35D0A86B"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20D9E1F2"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7</w:t>
            </w:r>
          </w:p>
        </w:tc>
        <w:tc>
          <w:tcPr>
            <w:tcW w:w="0" w:type="auto"/>
            <w:tcBorders>
              <w:top w:val="nil"/>
              <w:left w:val="nil"/>
              <w:bottom w:val="nil"/>
              <w:right w:val="nil"/>
            </w:tcBorders>
            <w:shd w:val="clear" w:color="auto" w:fill="auto"/>
            <w:noWrap/>
            <w:vAlign w:val="center"/>
            <w:hideMark/>
          </w:tcPr>
          <w:p w14:paraId="61BDC8EB"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2</w:t>
            </w:r>
          </w:p>
        </w:tc>
        <w:tc>
          <w:tcPr>
            <w:tcW w:w="0" w:type="auto"/>
            <w:tcBorders>
              <w:top w:val="nil"/>
              <w:left w:val="nil"/>
              <w:bottom w:val="nil"/>
              <w:right w:val="nil"/>
            </w:tcBorders>
            <w:shd w:val="clear" w:color="auto" w:fill="auto"/>
            <w:noWrap/>
            <w:vAlign w:val="center"/>
            <w:hideMark/>
          </w:tcPr>
          <w:p w14:paraId="48D1CE91"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33EE596F"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r w:rsidR="00053152" w:rsidRPr="002B2D9C" w14:paraId="39BB0098"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766F5371"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27E101F3"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20.5</w:t>
            </w:r>
          </w:p>
        </w:tc>
        <w:tc>
          <w:tcPr>
            <w:tcW w:w="0" w:type="auto"/>
            <w:tcBorders>
              <w:top w:val="nil"/>
              <w:left w:val="nil"/>
              <w:bottom w:val="nil"/>
              <w:right w:val="nil"/>
            </w:tcBorders>
            <w:shd w:val="clear" w:color="auto" w:fill="auto"/>
            <w:noWrap/>
            <w:vAlign w:val="center"/>
            <w:hideMark/>
          </w:tcPr>
          <w:p w14:paraId="7E149054"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58</w:t>
            </w:r>
          </w:p>
        </w:tc>
        <w:tc>
          <w:tcPr>
            <w:tcW w:w="0" w:type="auto"/>
            <w:tcBorders>
              <w:top w:val="nil"/>
              <w:left w:val="nil"/>
              <w:bottom w:val="nil"/>
              <w:right w:val="nil"/>
            </w:tcBorders>
            <w:shd w:val="clear" w:color="auto" w:fill="auto"/>
            <w:noWrap/>
            <w:vAlign w:val="center"/>
            <w:hideMark/>
          </w:tcPr>
          <w:p w14:paraId="75F1EA89"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5CBF8C12"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4</w:t>
            </w:r>
          </w:p>
        </w:tc>
        <w:tc>
          <w:tcPr>
            <w:tcW w:w="0" w:type="auto"/>
            <w:tcBorders>
              <w:top w:val="nil"/>
              <w:left w:val="nil"/>
              <w:bottom w:val="nil"/>
              <w:right w:val="nil"/>
            </w:tcBorders>
            <w:shd w:val="clear" w:color="auto" w:fill="auto"/>
            <w:noWrap/>
            <w:vAlign w:val="center"/>
            <w:hideMark/>
          </w:tcPr>
          <w:p w14:paraId="3B6D6395"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3</w:t>
            </w:r>
          </w:p>
        </w:tc>
        <w:tc>
          <w:tcPr>
            <w:tcW w:w="0" w:type="auto"/>
            <w:tcBorders>
              <w:top w:val="nil"/>
              <w:left w:val="nil"/>
              <w:bottom w:val="nil"/>
              <w:right w:val="nil"/>
            </w:tcBorders>
            <w:shd w:val="clear" w:color="auto" w:fill="auto"/>
            <w:noWrap/>
            <w:vAlign w:val="center"/>
            <w:hideMark/>
          </w:tcPr>
          <w:p w14:paraId="6E922B2F"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788FA507"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0</w:t>
            </w:r>
          </w:p>
        </w:tc>
      </w:tr>
      <w:tr w:rsidR="00053152" w:rsidRPr="002B2D9C" w14:paraId="10D43302"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56129538"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21F3628F"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35.5</w:t>
            </w:r>
          </w:p>
        </w:tc>
        <w:tc>
          <w:tcPr>
            <w:tcW w:w="0" w:type="auto"/>
            <w:tcBorders>
              <w:top w:val="nil"/>
              <w:left w:val="nil"/>
              <w:bottom w:val="nil"/>
              <w:right w:val="nil"/>
            </w:tcBorders>
            <w:shd w:val="clear" w:color="auto" w:fill="auto"/>
            <w:noWrap/>
            <w:vAlign w:val="center"/>
            <w:hideMark/>
          </w:tcPr>
          <w:p w14:paraId="1118B9EE"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32</w:t>
            </w:r>
          </w:p>
        </w:tc>
        <w:tc>
          <w:tcPr>
            <w:tcW w:w="0" w:type="auto"/>
            <w:tcBorders>
              <w:top w:val="nil"/>
              <w:left w:val="nil"/>
              <w:bottom w:val="nil"/>
              <w:right w:val="nil"/>
            </w:tcBorders>
            <w:shd w:val="clear" w:color="auto" w:fill="auto"/>
            <w:noWrap/>
            <w:vAlign w:val="center"/>
            <w:hideMark/>
          </w:tcPr>
          <w:p w14:paraId="7CA198DA"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5E71E8A4"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4</w:t>
            </w:r>
          </w:p>
        </w:tc>
        <w:tc>
          <w:tcPr>
            <w:tcW w:w="0" w:type="auto"/>
            <w:tcBorders>
              <w:top w:val="nil"/>
              <w:left w:val="nil"/>
              <w:bottom w:val="nil"/>
              <w:right w:val="nil"/>
            </w:tcBorders>
            <w:shd w:val="clear" w:color="auto" w:fill="auto"/>
            <w:noWrap/>
            <w:vAlign w:val="center"/>
            <w:hideMark/>
          </w:tcPr>
          <w:p w14:paraId="52F6C8BF"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w:t>
            </w:r>
          </w:p>
        </w:tc>
        <w:tc>
          <w:tcPr>
            <w:tcW w:w="0" w:type="auto"/>
            <w:tcBorders>
              <w:top w:val="nil"/>
              <w:left w:val="nil"/>
              <w:bottom w:val="nil"/>
              <w:right w:val="nil"/>
            </w:tcBorders>
            <w:shd w:val="clear" w:color="auto" w:fill="auto"/>
            <w:noWrap/>
            <w:vAlign w:val="center"/>
            <w:hideMark/>
          </w:tcPr>
          <w:p w14:paraId="60803A2D"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3244B4AE"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0</w:t>
            </w:r>
          </w:p>
        </w:tc>
      </w:tr>
      <w:tr w:rsidR="00053152" w:rsidRPr="002B2D9C" w14:paraId="74F03540"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37B58541" w14:textId="77777777" w:rsidR="00053152" w:rsidRPr="001B2E36" w:rsidRDefault="00053152" w:rsidP="006B1ADB">
            <w:pPr>
              <w:spacing w:after="0" w:line="360" w:lineRule="auto"/>
              <w:jc w:val="center"/>
              <w:rPr>
                <w:rFonts w:eastAsia="Times New Roman" w:cs="Arial"/>
                <w:i/>
                <w:iCs/>
                <w:color w:val="000000"/>
                <w:szCs w:val="20"/>
                <w:lang w:eastAsia="en-GB"/>
              </w:rPr>
            </w:pPr>
            <w:r w:rsidRPr="001B2E36">
              <w:rPr>
                <w:rFonts w:eastAsia="Times New Roman" w:cs="Arial"/>
                <w:i/>
                <w:iCs/>
                <w:color w:val="000000"/>
                <w:szCs w:val="20"/>
                <w:lang w:eastAsia="en-GB"/>
              </w:rPr>
              <w:t>Core 3</w:t>
            </w:r>
          </w:p>
        </w:tc>
        <w:tc>
          <w:tcPr>
            <w:tcW w:w="0" w:type="auto"/>
            <w:tcBorders>
              <w:top w:val="nil"/>
              <w:left w:val="nil"/>
              <w:bottom w:val="nil"/>
              <w:right w:val="nil"/>
            </w:tcBorders>
            <w:shd w:val="clear" w:color="auto" w:fill="auto"/>
            <w:noWrap/>
            <w:vAlign w:val="center"/>
            <w:hideMark/>
          </w:tcPr>
          <w:p w14:paraId="49C5EAED"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48D2578B" w14:textId="77777777" w:rsidR="00053152" w:rsidRPr="001B2E36" w:rsidRDefault="00053152" w:rsidP="006B1ADB">
            <w:pPr>
              <w:spacing w:after="0" w:line="360" w:lineRule="auto"/>
              <w:jc w:val="right"/>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48755A58"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5917BC8E" w14:textId="77777777" w:rsidR="00053152" w:rsidRPr="001B2E36" w:rsidRDefault="00053152" w:rsidP="006B1ADB">
            <w:pPr>
              <w:spacing w:after="0" w:line="360" w:lineRule="auto"/>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7EA98493" w14:textId="77777777" w:rsidR="00053152" w:rsidRPr="001B2E36" w:rsidRDefault="00053152" w:rsidP="006B1ADB">
            <w:pPr>
              <w:spacing w:after="0" w:line="360" w:lineRule="auto"/>
              <w:jc w:val="right"/>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484FF84F"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3EF5C0BF" w14:textId="77777777" w:rsidR="00053152" w:rsidRPr="001B2E36" w:rsidRDefault="00053152" w:rsidP="006B1ADB">
            <w:pPr>
              <w:spacing w:after="0" w:line="360" w:lineRule="auto"/>
              <w:rPr>
                <w:rFonts w:eastAsia="Times New Roman" w:cs="Arial"/>
                <w:color w:val="000000"/>
                <w:szCs w:val="20"/>
                <w:lang w:eastAsia="en-GB"/>
              </w:rPr>
            </w:pPr>
          </w:p>
        </w:tc>
      </w:tr>
      <w:tr w:rsidR="00053152" w:rsidRPr="002B2D9C" w14:paraId="50A4685F" w14:textId="77777777" w:rsidTr="00EC6EEC">
        <w:trPr>
          <w:trHeight w:val="288"/>
          <w:jc w:val="center"/>
        </w:trPr>
        <w:tc>
          <w:tcPr>
            <w:tcW w:w="0" w:type="auto"/>
            <w:tcBorders>
              <w:top w:val="nil"/>
              <w:left w:val="nil"/>
              <w:bottom w:val="nil"/>
              <w:right w:val="nil"/>
            </w:tcBorders>
            <w:shd w:val="clear" w:color="auto" w:fill="auto"/>
            <w:noWrap/>
            <w:vAlign w:val="center"/>
            <w:hideMark/>
          </w:tcPr>
          <w:p w14:paraId="3E37DE99"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00636149"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0.5</w:t>
            </w:r>
          </w:p>
        </w:tc>
        <w:tc>
          <w:tcPr>
            <w:tcW w:w="0" w:type="auto"/>
            <w:tcBorders>
              <w:top w:val="nil"/>
              <w:left w:val="nil"/>
              <w:bottom w:val="nil"/>
              <w:right w:val="nil"/>
            </w:tcBorders>
            <w:shd w:val="clear" w:color="auto" w:fill="auto"/>
            <w:noWrap/>
            <w:vAlign w:val="center"/>
            <w:hideMark/>
          </w:tcPr>
          <w:p w14:paraId="7F97EEDA"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127</w:t>
            </w:r>
          </w:p>
        </w:tc>
        <w:tc>
          <w:tcPr>
            <w:tcW w:w="0" w:type="auto"/>
            <w:tcBorders>
              <w:top w:val="nil"/>
              <w:left w:val="nil"/>
              <w:bottom w:val="nil"/>
              <w:right w:val="nil"/>
            </w:tcBorders>
            <w:shd w:val="clear" w:color="auto" w:fill="auto"/>
            <w:noWrap/>
            <w:vAlign w:val="center"/>
            <w:hideMark/>
          </w:tcPr>
          <w:p w14:paraId="02B33064"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2F540C53"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15</w:t>
            </w:r>
          </w:p>
        </w:tc>
        <w:tc>
          <w:tcPr>
            <w:tcW w:w="0" w:type="auto"/>
            <w:tcBorders>
              <w:top w:val="nil"/>
              <w:left w:val="nil"/>
              <w:bottom w:val="nil"/>
              <w:right w:val="nil"/>
            </w:tcBorders>
            <w:shd w:val="clear" w:color="auto" w:fill="auto"/>
            <w:noWrap/>
            <w:vAlign w:val="center"/>
            <w:hideMark/>
          </w:tcPr>
          <w:p w14:paraId="46699523"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0</w:t>
            </w:r>
          </w:p>
        </w:tc>
        <w:tc>
          <w:tcPr>
            <w:tcW w:w="0" w:type="auto"/>
            <w:tcBorders>
              <w:top w:val="nil"/>
              <w:left w:val="nil"/>
              <w:bottom w:val="nil"/>
              <w:right w:val="nil"/>
            </w:tcBorders>
            <w:shd w:val="clear" w:color="auto" w:fill="auto"/>
            <w:noWrap/>
            <w:vAlign w:val="center"/>
            <w:hideMark/>
          </w:tcPr>
          <w:p w14:paraId="5B8B270C"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0465CE35"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r w:rsidR="00053152" w:rsidRPr="002B2D9C" w14:paraId="5B3B9982" w14:textId="77777777" w:rsidTr="001B2E36">
        <w:trPr>
          <w:trHeight w:val="89"/>
          <w:jc w:val="center"/>
        </w:trPr>
        <w:tc>
          <w:tcPr>
            <w:tcW w:w="0" w:type="auto"/>
            <w:tcBorders>
              <w:top w:val="nil"/>
              <w:left w:val="nil"/>
              <w:bottom w:val="nil"/>
              <w:right w:val="nil"/>
            </w:tcBorders>
            <w:shd w:val="clear" w:color="auto" w:fill="auto"/>
            <w:noWrap/>
            <w:vAlign w:val="center"/>
            <w:hideMark/>
          </w:tcPr>
          <w:p w14:paraId="4E44E94A"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nil"/>
              <w:right w:val="nil"/>
            </w:tcBorders>
            <w:shd w:val="clear" w:color="auto" w:fill="auto"/>
            <w:noWrap/>
            <w:vAlign w:val="center"/>
            <w:hideMark/>
          </w:tcPr>
          <w:p w14:paraId="44B6A17C"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10.5</w:t>
            </w:r>
          </w:p>
        </w:tc>
        <w:tc>
          <w:tcPr>
            <w:tcW w:w="0" w:type="auto"/>
            <w:tcBorders>
              <w:top w:val="nil"/>
              <w:left w:val="nil"/>
              <w:bottom w:val="nil"/>
              <w:right w:val="nil"/>
            </w:tcBorders>
            <w:shd w:val="clear" w:color="auto" w:fill="auto"/>
            <w:noWrap/>
            <w:vAlign w:val="center"/>
            <w:hideMark/>
          </w:tcPr>
          <w:p w14:paraId="2D5DF794"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110</w:t>
            </w:r>
          </w:p>
        </w:tc>
        <w:tc>
          <w:tcPr>
            <w:tcW w:w="0" w:type="auto"/>
            <w:tcBorders>
              <w:top w:val="nil"/>
              <w:left w:val="nil"/>
              <w:bottom w:val="nil"/>
              <w:right w:val="nil"/>
            </w:tcBorders>
            <w:shd w:val="clear" w:color="auto" w:fill="auto"/>
            <w:noWrap/>
            <w:vAlign w:val="center"/>
            <w:hideMark/>
          </w:tcPr>
          <w:p w14:paraId="08EFA0F7"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6BFEE00C"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15</w:t>
            </w:r>
          </w:p>
        </w:tc>
        <w:tc>
          <w:tcPr>
            <w:tcW w:w="0" w:type="auto"/>
            <w:tcBorders>
              <w:top w:val="nil"/>
              <w:left w:val="nil"/>
              <w:bottom w:val="nil"/>
              <w:right w:val="nil"/>
            </w:tcBorders>
            <w:shd w:val="clear" w:color="auto" w:fill="auto"/>
            <w:noWrap/>
            <w:vAlign w:val="center"/>
            <w:hideMark/>
          </w:tcPr>
          <w:p w14:paraId="2BE60EAB"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w:t>
            </w:r>
          </w:p>
        </w:tc>
        <w:tc>
          <w:tcPr>
            <w:tcW w:w="0" w:type="auto"/>
            <w:tcBorders>
              <w:top w:val="nil"/>
              <w:left w:val="nil"/>
              <w:bottom w:val="nil"/>
              <w:right w:val="nil"/>
            </w:tcBorders>
            <w:shd w:val="clear" w:color="auto" w:fill="auto"/>
            <w:noWrap/>
            <w:vAlign w:val="center"/>
            <w:hideMark/>
          </w:tcPr>
          <w:p w14:paraId="33CD7596"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nil"/>
              <w:right w:val="nil"/>
            </w:tcBorders>
            <w:shd w:val="clear" w:color="auto" w:fill="auto"/>
            <w:noWrap/>
            <w:vAlign w:val="center"/>
            <w:hideMark/>
          </w:tcPr>
          <w:p w14:paraId="6C24CF8F"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r w:rsidR="00053152" w:rsidRPr="002B2D9C" w14:paraId="76E348C2" w14:textId="77777777" w:rsidTr="00EC6EEC">
        <w:trPr>
          <w:trHeight w:val="288"/>
          <w:jc w:val="center"/>
        </w:trPr>
        <w:tc>
          <w:tcPr>
            <w:tcW w:w="0" w:type="auto"/>
            <w:tcBorders>
              <w:top w:val="nil"/>
              <w:left w:val="nil"/>
              <w:bottom w:val="single" w:sz="4" w:space="0" w:color="auto"/>
              <w:right w:val="nil"/>
            </w:tcBorders>
            <w:shd w:val="clear" w:color="auto" w:fill="auto"/>
            <w:noWrap/>
            <w:vAlign w:val="center"/>
            <w:hideMark/>
          </w:tcPr>
          <w:p w14:paraId="187CF41C" w14:textId="77777777" w:rsidR="00053152" w:rsidRPr="001B2E36" w:rsidRDefault="00053152" w:rsidP="006B1ADB">
            <w:pPr>
              <w:spacing w:after="0" w:line="360" w:lineRule="auto"/>
              <w:jc w:val="center"/>
              <w:rPr>
                <w:rFonts w:eastAsia="Times New Roman" w:cs="Arial"/>
                <w:color w:val="000000"/>
                <w:szCs w:val="20"/>
                <w:lang w:eastAsia="en-GB"/>
              </w:rPr>
            </w:pPr>
          </w:p>
        </w:tc>
        <w:tc>
          <w:tcPr>
            <w:tcW w:w="0" w:type="auto"/>
            <w:tcBorders>
              <w:top w:val="nil"/>
              <w:left w:val="nil"/>
              <w:bottom w:val="single" w:sz="4" w:space="0" w:color="auto"/>
              <w:right w:val="nil"/>
            </w:tcBorders>
            <w:shd w:val="clear" w:color="auto" w:fill="auto"/>
            <w:noWrap/>
            <w:vAlign w:val="center"/>
            <w:hideMark/>
          </w:tcPr>
          <w:p w14:paraId="0CAD8E85"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20.5</w:t>
            </w:r>
          </w:p>
        </w:tc>
        <w:tc>
          <w:tcPr>
            <w:tcW w:w="0" w:type="auto"/>
            <w:tcBorders>
              <w:top w:val="nil"/>
              <w:left w:val="nil"/>
              <w:bottom w:val="single" w:sz="4" w:space="0" w:color="auto"/>
              <w:right w:val="nil"/>
            </w:tcBorders>
            <w:shd w:val="clear" w:color="auto" w:fill="auto"/>
            <w:noWrap/>
            <w:vAlign w:val="center"/>
            <w:hideMark/>
          </w:tcPr>
          <w:p w14:paraId="79414E91"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68</w:t>
            </w:r>
          </w:p>
        </w:tc>
        <w:tc>
          <w:tcPr>
            <w:tcW w:w="0" w:type="auto"/>
            <w:tcBorders>
              <w:top w:val="nil"/>
              <w:left w:val="nil"/>
              <w:bottom w:val="single" w:sz="4" w:space="0" w:color="auto"/>
              <w:right w:val="nil"/>
            </w:tcBorders>
            <w:shd w:val="clear" w:color="auto" w:fill="auto"/>
            <w:noWrap/>
            <w:vAlign w:val="center"/>
            <w:hideMark/>
          </w:tcPr>
          <w:p w14:paraId="5970111A"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single" w:sz="4" w:space="0" w:color="auto"/>
              <w:right w:val="nil"/>
            </w:tcBorders>
            <w:shd w:val="clear" w:color="auto" w:fill="auto"/>
            <w:noWrap/>
            <w:vAlign w:val="center"/>
            <w:hideMark/>
          </w:tcPr>
          <w:p w14:paraId="3B4CF92C"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14</w:t>
            </w:r>
          </w:p>
        </w:tc>
        <w:tc>
          <w:tcPr>
            <w:tcW w:w="0" w:type="auto"/>
            <w:tcBorders>
              <w:top w:val="nil"/>
              <w:left w:val="nil"/>
              <w:bottom w:val="single" w:sz="4" w:space="0" w:color="auto"/>
              <w:right w:val="nil"/>
            </w:tcBorders>
            <w:shd w:val="clear" w:color="auto" w:fill="auto"/>
            <w:noWrap/>
            <w:vAlign w:val="center"/>
            <w:hideMark/>
          </w:tcPr>
          <w:p w14:paraId="12FFE7F3" w14:textId="77777777" w:rsidR="00053152" w:rsidRPr="001B2E36" w:rsidRDefault="00053152" w:rsidP="006B1ADB">
            <w:pPr>
              <w:spacing w:after="0" w:line="360" w:lineRule="auto"/>
              <w:jc w:val="right"/>
              <w:rPr>
                <w:rFonts w:eastAsia="Times New Roman" w:cs="Arial"/>
                <w:color w:val="000000"/>
                <w:szCs w:val="20"/>
                <w:lang w:eastAsia="en-GB"/>
              </w:rPr>
            </w:pPr>
            <w:r w:rsidRPr="001B2E36">
              <w:rPr>
                <w:rFonts w:eastAsia="Times New Roman" w:cs="Arial"/>
                <w:color w:val="000000"/>
                <w:szCs w:val="20"/>
                <w:lang w:eastAsia="en-GB"/>
              </w:rPr>
              <w:t>1</w:t>
            </w:r>
          </w:p>
        </w:tc>
        <w:tc>
          <w:tcPr>
            <w:tcW w:w="0" w:type="auto"/>
            <w:tcBorders>
              <w:top w:val="nil"/>
              <w:left w:val="nil"/>
              <w:bottom w:val="single" w:sz="4" w:space="0" w:color="auto"/>
              <w:right w:val="nil"/>
            </w:tcBorders>
            <w:shd w:val="clear" w:color="auto" w:fill="auto"/>
            <w:noWrap/>
            <w:vAlign w:val="center"/>
            <w:hideMark/>
          </w:tcPr>
          <w:p w14:paraId="7E721C61" w14:textId="77777777" w:rsidR="00053152" w:rsidRPr="001B2E36" w:rsidRDefault="00053152" w:rsidP="006B1ADB">
            <w:pPr>
              <w:spacing w:after="0" w:line="360" w:lineRule="auto"/>
              <w:jc w:val="center"/>
              <w:rPr>
                <w:rFonts w:eastAsia="Times New Roman" w:cs="Arial"/>
                <w:color w:val="000000"/>
                <w:szCs w:val="20"/>
                <w:lang w:eastAsia="en-GB"/>
              </w:rPr>
            </w:pPr>
            <w:r w:rsidRPr="001B2E36">
              <w:rPr>
                <w:rFonts w:eastAsia="Times New Roman" w:cs="Arial"/>
                <w:color w:val="000000"/>
                <w:szCs w:val="20"/>
                <w:lang w:eastAsia="en-GB"/>
              </w:rPr>
              <w:t>±</w:t>
            </w:r>
          </w:p>
        </w:tc>
        <w:tc>
          <w:tcPr>
            <w:tcW w:w="0" w:type="auto"/>
            <w:tcBorders>
              <w:top w:val="nil"/>
              <w:left w:val="nil"/>
              <w:bottom w:val="single" w:sz="4" w:space="0" w:color="auto"/>
              <w:right w:val="nil"/>
            </w:tcBorders>
            <w:shd w:val="clear" w:color="auto" w:fill="auto"/>
            <w:noWrap/>
            <w:vAlign w:val="center"/>
            <w:hideMark/>
          </w:tcPr>
          <w:p w14:paraId="7AB7C3E6" w14:textId="77777777" w:rsidR="00053152" w:rsidRPr="001B2E36" w:rsidRDefault="00053152" w:rsidP="006B1ADB">
            <w:pPr>
              <w:spacing w:after="0" w:line="360" w:lineRule="auto"/>
              <w:rPr>
                <w:rFonts w:eastAsia="Times New Roman" w:cs="Arial"/>
                <w:color w:val="000000"/>
                <w:szCs w:val="20"/>
                <w:lang w:eastAsia="en-GB"/>
              </w:rPr>
            </w:pPr>
            <w:r w:rsidRPr="001B2E36">
              <w:rPr>
                <w:rFonts w:eastAsia="Times New Roman" w:cs="Arial"/>
                <w:color w:val="000000"/>
                <w:szCs w:val="20"/>
                <w:lang w:eastAsia="en-GB"/>
              </w:rPr>
              <w:t>1</w:t>
            </w:r>
          </w:p>
        </w:tc>
      </w:tr>
    </w:tbl>
    <w:p w14:paraId="086B4493" w14:textId="77777777" w:rsidR="00FE2708" w:rsidRPr="00FE2708" w:rsidRDefault="00FE2708" w:rsidP="006B1ADB">
      <w:pPr>
        <w:spacing w:line="360" w:lineRule="auto"/>
        <w:rPr>
          <w:sz w:val="10"/>
        </w:rPr>
      </w:pPr>
    </w:p>
    <w:p w14:paraId="163265E4" w14:textId="77777777" w:rsidR="00FE2708" w:rsidRDefault="002B2D9C" w:rsidP="006B1ADB">
      <w:pPr>
        <w:spacing w:line="360" w:lineRule="auto"/>
      </w:pPr>
      <w:r w:rsidRPr="00EC6EEC">
        <w:rPr>
          <w:b/>
        </w:rPr>
        <w:t xml:space="preserve">Table </w:t>
      </w:r>
      <w:r w:rsidR="001E7BD7" w:rsidRPr="00EC6EEC">
        <w:rPr>
          <w:b/>
        </w:rPr>
        <w:t>1</w:t>
      </w:r>
      <w:r w:rsidRPr="00EC6EEC">
        <w:rPr>
          <w:b/>
        </w:rPr>
        <w:t>.</w:t>
      </w:r>
      <w:r w:rsidR="005B3A5B">
        <w:t xml:space="preserve"> </w:t>
      </w:r>
      <w:r w:rsidR="005B3A5B" w:rsidRPr="005B3A5B">
        <w:rPr>
          <w:vertAlign w:val="superscript"/>
        </w:rPr>
        <w:t>210</w:t>
      </w:r>
      <w:r w:rsidR="005B3A5B">
        <w:t>Pb</w:t>
      </w:r>
      <w:r w:rsidR="00E46AF7" w:rsidRPr="00E46AF7">
        <w:rPr>
          <w:vertAlign w:val="subscript"/>
        </w:rPr>
        <w:t>xs</w:t>
      </w:r>
      <w:r w:rsidR="005915DC">
        <w:t xml:space="preserve"> and</w:t>
      </w:r>
      <w:r w:rsidR="005B3A5B">
        <w:t xml:space="preserve"> </w:t>
      </w:r>
      <w:r w:rsidR="005B3A5B" w:rsidRPr="005B3A5B">
        <w:rPr>
          <w:vertAlign w:val="superscript"/>
        </w:rPr>
        <w:t>137</w:t>
      </w:r>
      <w:r w:rsidR="005B3A5B">
        <w:t xml:space="preserve">Cs activities </w:t>
      </w:r>
      <w:r w:rsidR="00053152">
        <w:t>in</w:t>
      </w:r>
      <w:r w:rsidR="005B3A5B">
        <w:t xml:space="preserve"> sediments</w:t>
      </w:r>
      <w:r w:rsidR="00FC4BC7">
        <w:t>.</w:t>
      </w:r>
    </w:p>
    <w:p w14:paraId="267B8EEE" w14:textId="77777777" w:rsidR="003321C6" w:rsidRDefault="00BE4093" w:rsidP="003321C6">
      <w:pPr>
        <w:spacing w:line="360" w:lineRule="auto"/>
        <w:jc w:val="center"/>
      </w:pPr>
      <w:r w:rsidRPr="00BE4093">
        <w:rPr>
          <w:noProof/>
          <w:lang w:val="en-US"/>
        </w:rPr>
        <w:drawing>
          <wp:inline distT="0" distB="0" distL="0" distR="0" wp14:anchorId="03591CF7" wp14:editId="0CB8EA67">
            <wp:extent cx="2506980" cy="374904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D2715A7" w14:textId="77777777" w:rsidR="003321C6" w:rsidRDefault="003321C6" w:rsidP="003321C6">
      <w:pPr>
        <w:spacing w:line="360" w:lineRule="auto"/>
        <w:jc w:val="center"/>
      </w:pPr>
      <w:r>
        <w:rPr>
          <w:b/>
        </w:rPr>
        <w:t>Fig 1</w:t>
      </w:r>
      <w:r w:rsidRPr="00EC6EEC">
        <w:rPr>
          <w:b/>
        </w:rPr>
        <w:t>.</w:t>
      </w:r>
      <w:r w:rsidR="00A876DE">
        <w:t xml:space="preserve"> Depth profile of p</w:t>
      </w:r>
      <w:r>
        <w:t>orosity in sediments.</w:t>
      </w:r>
    </w:p>
    <w:p w14:paraId="0F7695AA" w14:textId="77777777" w:rsidR="00FE2708" w:rsidRDefault="00BE4093" w:rsidP="005915DC">
      <w:pPr>
        <w:spacing w:line="360" w:lineRule="auto"/>
        <w:jc w:val="center"/>
      </w:pPr>
      <w:r w:rsidRPr="00BE4093">
        <w:rPr>
          <w:noProof/>
          <w:lang w:val="en-US"/>
        </w:rPr>
        <w:lastRenderedPageBreak/>
        <w:drawing>
          <wp:inline distT="0" distB="0" distL="0" distR="0" wp14:anchorId="2D052D83" wp14:editId="3AAFC7FE">
            <wp:extent cx="2506980" cy="374904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358671C" w14:textId="77777777" w:rsidR="003867DD" w:rsidRDefault="00DA24C3" w:rsidP="00B864F1">
      <w:pPr>
        <w:spacing w:line="360" w:lineRule="auto"/>
        <w:jc w:val="center"/>
        <w:outlineLvl w:val="0"/>
      </w:pPr>
      <w:r>
        <w:rPr>
          <w:b/>
        </w:rPr>
        <w:t xml:space="preserve">Fig </w:t>
      </w:r>
      <w:r w:rsidR="00BE4093">
        <w:rPr>
          <w:b/>
        </w:rPr>
        <w:t>2</w:t>
      </w:r>
      <w:r w:rsidR="003867DD" w:rsidRPr="00EC6EEC">
        <w:rPr>
          <w:b/>
        </w:rPr>
        <w:t>.</w:t>
      </w:r>
      <w:r w:rsidR="00A876DE">
        <w:t xml:space="preserve"> Depth profiles of c</w:t>
      </w:r>
      <w:r w:rsidR="003867DD">
        <w:t>hloride</w:t>
      </w:r>
      <w:r w:rsidR="00B25FDE">
        <w:t xml:space="preserve"> </w:t>
      </w:r>
      <w:r w:rsidR="003867DD">
        <w:t>in sediments.</w:t>
      </w:r>
    </w:p>
    <w:p w14:paraId="01787A89" w14:textId="77777777" w:rsidR="00FE2708" w:rsidRDefault="00FE2708" w:rsidP="006B1ADB">
      <w:pPr>
        <w:spacing w:line="360" w:lineRule="auto"/>
        <w:rPr>
          <w:sz w:val="18"/>
        </w:rPr>
      </w:pPr>
    </w:p>
    <w:p w14:paraId="0FEC0550" w14:textId="77777777" w:rsidR="00350BFF" w:rsidRPr="00B25FDE" w:rsidRDefault="00B25FDE" w:rsidP="006B1ADB">
      <w:pPr>
        <w:spacing w:line="360" w:lineRule="auto"/>
        <w:rPr>
          <w:b/>
        </w:rPr>
      </w:pPr>
      <w:r>
        <w:rPr>
          <w:b/>
        </w:rPr>
        <w:t xml:space="preserve">1. </w:t>
      </w:r>
      <w:r w:rsidR="00350BFF" w:rsidRPr="00B25FDE">
        <w:rPr>
          <w:b/>
        </w:rPr>
        <w:t>Steady State model</w:t>
      </w:r>
    </w:p>
    <w:p w14:paraId="6C948E20" w14:textId="77777777" w:rsidR="00FE2708" w:rsidRDefault="008259D0" w:rsidP="00A33D24">
      <w:pPr>
        <w:spacing w:line="360" w:lineRule="auto"/>
        <w:jc w:val="both"/>
      </w:pPr>
      <w:r>
        <w:t xml:space="preserve">In the </w:t>
      </w:r>
      <w:r w:rsidR="00350BFF">
        <w:t>s</w:t>
      </w:r>
      <w:r>
        <w:t xml:space="preserve">teady state model, we first fit </w:t>
      </w:r>
      <w:r w:rsidR="00985EBB">
        <w:t>t</w:t>
      </w:r>
      <w:r>
        <w:t xml:space="preserve">he </w:t>
      </w:r>
      <w:proofErr w:type="spellStart"/>
      <w:r>
        <w:t>sulfate</w:t>
      </w:r>
      <w:proofErr w:type="spellEnd"/>
      <w:r>
        <w:t xml:space="preserve"> profiles shallower than 20 cm from Core 1&amp;2 with a 2-order polynomial trend. </w:t>
      </w:r>
      <w:proofErr w:type="spellStart"/>
      <w:r>
        <w:t>Sulfate</w:t>
      </w:r>
      <w:proofErr w:type="spellEnd"/>
      <w:r>
        <w:t xml:space="preserve"> concentration below 20 cm was assumed to be constant (0.28 </w:t>
      </w:r>
      <w:proofErr w:type="spellStart"/>
      <w:r>
        <w:t>mM</w:t>
      </w:r>
      <w:proofErr w:type="spellEnd"/>
      <w:r>
        <w:t xml:space="preserve">). The </w:t>
      </w:r>
      <w:r w:rsidRPr="008259D0">
        <w:rPr>
          <w:rFonts w:ascii="Symbol" w:hAnsi="Symbol"/>
        </w:rPr>
        <w:t></w:t>
      </w:r>
      <w:r w:rsidRPr="008259D0">
        <w:rPr>
          <w:vertAlign w:val="superscript"/>
        </w:rPr>
        <w:t>34</w:t>
      </w:r>
      <w:r>
        <w:t xml:space="preserve">S of </w:t>
      </w:r>
      <w:proofErr w:type="spellStart"/>
      <w:r>
        <w:t>sulfate</w:t>
      </w:r>
      <w:proofErr w:type="spellEnd"/>
      <w:r>
        <w:t xml:space="preserve"> was fitted in the same fashion. After deriving </w:t>
      </w:r>
      <w:r w:rsidRPr="006B1ADB">
        <w:rPr>
          <w:vertAlign w:val="superscript"/>
        </w:rPr>
        <w:t>34</w:t>
      </w:r>
      <w:r>
        <w:t>S/</w:t>
      </w:r>
      <w:r w:rsidRPr="006B1ADB">
        <w:rPr>
          <w:vertAlign w:val="superscript"/>
        </w:rPr>
        <w:t>32</w:t>
      </w:r>
      <w:r>
        <w:t>S ratio</w:t>
      </w:r>
      <w:r w:rsidR="006B1ADB">
        <w:t>s</w:t>
      </w:r>
      <w:r>
        <w:t xml:space="preserve"> from the fitted trend of </w:t>
      </w:r>
      <w:r w:rsidRPr="008259D0">
        <w:rPr>
          <w:rFonts w:ascii="Symbol" w:hAnsi="Symbol"/>
        </w:rPr>
        <w:t></w:t>
      </w:r>
      <w:r w:rsidRPr="008259D0">
        <w:rPr>
          <w:vertAlign w:val="superscript"/>
        </w:rPr>
        <w:t>34</w:t>
      </w:r>
      <w:r>
        <w:t>S record</w:t>
      </w:r>
      <w:r w:rsidR="006B1ADB">
        <w:t xml:space="preserve"> (assuming the </w:t>
      </w:r>
      <w:r w:rsidR="006B1ADB" w:rsidRPr="006B1ADB">
        <w:t xml:space="preserve">Canyon Diablo </w:t>
      </w:r>
      <w:proofErr w:type="spellStart"/>
      <w:r w:rsidR="006B1ADB" w:rsidRPr="006B1ADB">
        <w:t>Troilite</w:t>
      </w:r>
      <w:proofErr w:type="spellEnd"/>
      <w:r w:rsidR="006B1ADB">
        <w:t xml:space="preserve"> standard has the </w:t>
      </w:r>
      <w:r w:rsidR="006B1ADB" w:rsidRPr="006B1ADB">
        <w:rPr>
          <w:vertAlign w:val="superscript"/>
        </w:rPr>
        <w:t>34</w:t>
      </w:r>
      <w:r w:rsidR="006B1ADB">
        <w:t>S to</w:t>
      </w:r>
      <w:r w:rsidR="00985EBB">
        <w:t xml:space="preserve"> </w:t>
      </w:r>
      <w:r w:rsidR="006B1ADB" w:rsidRPr="006B1ADB">
        <w:rPr>
          <w:vertAlign w:val="superscript"/>
        </w:rPr>
        <w:t>32</w:t>
      </w:r>
      <w:r w:rsidR="006B1ADB">
        <w:t>S ratio of 0.0450045)</w:t>
      </w:r>
      <w:r>
        <w:t xml:space="preserve">, we </w:t>
      </w:r>
      <w:r w:rsidR="006B1ADB">
        <w:t>calculated</w:t>
      </w:r>
      <w:r>
        <w:t xml:space="preserve"> concentrations of </w:t>
      </w:r>
      <w:r w:rsidRPr="008259D0">
        <w:rPr>
          <w:vertAlign w:val="superscript"/>
        </w:rPr>
        <w:t>3</w:t>
      </w:r>
      <w:r w:rsidR="00551ECA">
        <w:rPr>
          <w:vertAlign w:val="superscript"/>
        </w:rPr>
        <w:t>2</w:t>
      </w:r>
      <w:r>
        <w:t xml:space="preserve">S </w:t>
      </w:r>
      <w:r w:rsidR="006B1ADB">
        <w:t xml:space="preserve">total </w:t>
      </w:r>
      <w:proofErr w:type="spellStart"/>
      <w:r w:rsidR="006B1ADB">
        <w:t>sulfate</w:t>
      </w:r>
      <w:proofErr w:type="spellEnd"/>
      <w:r w:rsidR="006B1ADB">
        <w:t xml:space="preserve"> concentration. </w:t>
      </w:r>
      <w:r>
        <w:t xml:space="preserve">We set 16 grids for the 40-cm sediment column. For each grid, we calculated the input flux </w:t>
      </w:r>
      <w:r w:rsidR="00350BFF">
        <w:t xml:space="preserve">(with Fick’s first law) </w:t>
      </w:r>
      <w:r w:rsidR="006B1ADB">
        <w:t xml:space="preserve">for both </w:t>
      </w:r>
      <w:r w:rsidR="006B1ADB" w:rsidRPr="006B1ADB">
        <w:rPr>
          <w:vertAlign w:val="superscript"/>
        </w:rPr>
        <w:t>34</w:t>
      </w:r>
      <w:r w:rsidR="006B1ADB">
        <w:t xml:space="preserve">S and </w:t>
      </w:r>
      <w:r w:rsidR="006B1ADB" w:rsidRPr="006B1ADB">
        <w:rPr>
          <w:vertAlign w:val="superscript"/>
        </w:rPr>
        <w:t>32</w:t>
      </w:r>
      <w:r w:rsidR="006B1ADB">
        <w:t>S of</w:t>
      </w:r>
      <w:r>
        <w:t xml:space="preserve"> </w:t>
      </w:r>
      <w:proofErr w:type="spellStart"/>
      <w:r>
        <w:t>sulfate</w:t>
      </w:r>
      <w:proofErr w:type="spellEnd"/>
      <w:r>
        <w:t xml:space="preserve"> from the grid above the target grid and output flux</w:t>
      </w:r>
      <w:r w:rsidR="006B1ADB">
        <w:t>es</w:t>
      </w:r>
      <w:r>
        <w:t xml:space="preserve"> towards the grid below. </w:t>
      </w:r>
      <w:r w:rsidR="006B1ADB">
        <w:t xml:space="preserve">The net SRR at each grid is the difference between the input and out fluxes. </w:t>
      </w:r>
      <w:r w:rsidR="005919B5">
        <w:t>Porosity was assumed to be 0.9</w:t>
      </w:r>
      <w:r w:rsidR="00350BFF">
        <w:t xml:space="preserve"> and diffusion coefficient for </w:t>
      </w:r>
      <w:proofErr w:type="spellStart"/>
      <w:r w:rsidR="00350BFF">
        <w:t>sulfate</w:t>
      </w:r>
      <w:proofErr w:type="spellEnd"/>
      <w:r w:rsidR="00350BFF">
        <w:t xml:space="preserve"> as 0.0337 m</w:t>
      </w:r>
      <w:r w:rsidR="00350BFF" w:rsidRPr="00350BFF">
        <w:rPr>
          <w:vertAlign w:val="superscript"/>
        </w:rPr>
        <w:t>2</w:t>
      </w:r>
      <w:r w:rsidR="00350BFF">
        <w:t>/</w:t>
      </w:r>
      <w:proofErr w:type="spellStart"/>
      <w:r w:rsidR="00350BFF">
        <w:t>yr</w:t>
      </w:r>
      <w:proofErr w:type="spellEnd"/>
      <w:r w:rsidR="00551ECA">
        <w:t xml:space="preserve"> </w:t>
      </w:r>
      <w:r w:rsidR="00993A02">
        <w:fldChar w:fldCharType="begin"/>
      </w:r>
      <w:r w:rsidR="00B53448">
        <w:instrText xml:space="preserve"> ADDIN ZOTERO_ITEM CSL_CITATION {"citationID":"Wff0hai0","properties":{"formattedCitation":"(Boudreau, 1997)","plainCitation":"(Boudreau, 1997)"},"citationItems":[{"id":1004,"uris":["http://zotero.org/users/1082502/items/XWSZPC7S"],"uri":["http://zotero.org/users/1082502/items/XWSZPC7S"],"itemData":{"id":1004,"type":"book","title":"Diagenetic models and their implementation: modelling transport and reactions in aquatic sediments","publisher":"Springer","number-of-pages":"440","source":"Google Books","ISBN":"978-3-540-61125-7","shortTitle":"Diagenetic models and their implementation","language":"en","author":[{"family":"Boudreau","given":"Bernard Paul"}],"issued":{"date-parts":[["1997"]]}}}],"schema":"https://github.com/citation-style-language/schema/raw/master/csl-citation.json"} </w:instrText>
      </w:r>
      <w:r w:rsidR="00993A02">
        <w:fldChar w:fldCharType="separate"/>
      </w:r>
      <w:r w:rsidR="00B53448" w:rsidRPr="00B53448">
        <w:rPr>
          <w:rFonts w:ascii="Calibri" w:hAnsi="Calibri"/>
        </w:rPr>
        <w:t>(Boudreau, 1997)</w:t>
      </w:r>
      <w:r w:rsidR="00993A02">
        <w:fldChar w:fldCharType="end"/>
      </w:r>
      <w:r w:rsidR="00350BFF">
        <w:t>.</w:t>
      </w:r>
    </w:p>
    <w:p w14:paraId="1A1D4715" w14:textId="7EF88FE2" w:rsidR="000C0381" w:rsidRDefault="00D54956" w:rsidP="00A33D24">
      <w:pPr>
        <w:spacing w:line="360" w:lineRule="auto"/>
        <w:jc w:val="both"/>
      </w:pPr>
      <w:r>
        <w:t xml:space="preserve">After estimating the net SRR for </w:t>
      </w:r>
      <w:r w:rsidRPr="00D54956">
        <w:rPr>
          <w:vertAlign w:val="superscript"/>
        </w:rPr>
        <w:t>32</w:t>
      </w:r>
      <w:r>
        <w:t>S</w:t>
      </w:r>
      <w:r w:rsidR="00551ECA">
        <w:t xml:space="preserve"> (i.e., sum of </w:t>
      </w:r>
      <w:r w:rsidR="00551ECA" w:rsidRPr="00551ECA">
        <w:rPr>
          <w:vertAlign w:val="superscript"/>
        </w:rPr>
        <w:t>32</w:t>
      </w:r>
      <w:r w:rsidR="00551ECA">
        <w:t>R</w:t>
      </w:r>
      <w:r w:rsidR="00551ECA" w:rsidRPr="00551ECA">
        <w:rPr>
          <w:vertAlign w:val="subscript"/>
        </w:rPr>
        <w:t>AOM</w:t>
      </w:r>
      <w:r w:rsidR="00551ECA">
        <w:t xml:space="preserve"> and </w:t>
      </w:r>
      <w:r w:rsidR="00551ECA" w:rsidRPr="00551ECA">
        <w:rPr>
          <w:vertAlign w:val="superscript"/>
        </w:rPr>
        <w:t>32</w:t>
      </w:r>
      <w:r w:rsidR="00551ECA">
        <w:t>R</w:t>
      </w:r>
      <w:r w:rsidR="00551ECA" w:rsidRPr="00551ECA">
        <w:rPr>
          <w:vertAlign w:val="subscript"/>
        </w:rPr>
        <w:t>OSR</w:t>
      </w:r>
      <w:r w:rsidR="00551ECA">
        <w:t>)</w:t>
      </w:r>
      <w:r>
        <w:t>, we assumed the rate constant</w:t>
      </w:r>
      <w:r w:rsidR="000C0381">
        <w:t>s</w:t>
      </w:r>
      <w:r>
        <w:t xml:space="preserve"> for OSR </w:t>
      </w:r>
      <w:r w:rsidR="000C0381">
        <w:t xml:space="preserve">and </w:t>
      </w:r>
      <w:r w:rsidR="00B864F1">
        <w:t>AOM-SR</w:t>
      </w:r>
      <w:r w:rsidR="000C0381">
        <w:t xml:space="preserve"> </w:t>
      </w:r>
      <w:r>
        <w:t xml:space="preserve">differently in the three modes we tested. In the “constant-k” mode, we assumed all SR can be attributed to OSR until 17.5 </w:t>
      </w:r>
      <w:proofErr w:type="spellStart"/>
      <w:r>
        <w:t>cmbsf</w:t>
      </w:r>
      <w:proofErr w:type="spellEnd"/>
      <w:r w:rsidR="009D1908">
        <w:t xml:space="preserve"> (i.e., no </w:t>
      </w:r>
      <w:r w:rsidR="00B864F1">
        <w:t>AOM-SR</w:t>
      </w:r>
      <w:r w:rsidR="009D1908">
        <w:t xml:space="preserve"> until that level)</w:t>
      </w:r>
      <w:r>
        <w:t>.</w:t>
      </w:r>
      <w:r w:rsidR="009D1908">
        <w:t xml:space="preserve"> </w:t>
      </w:r>
      <w:r w:rsidR="00B864F1">
        <w:t>AOM-SR</w:t>
      </w:r>
      <w:r w:rsidR="000C0381">
        <w:t xml:space="preserve"> only happens in the grid of 20cm, where most </w:t>
      </w:r>
      <w:proofErr w:type="spellStart"/>
      <w:r w:rsidR="000C0381">
        <w:t>sulfate</w:t>
      </w:r>
      <w:proofErr w:type="spellEnd"/>
      <w:r w:rsidR="000C0381">
        <w:t xml:space="preserve"> is consumed. </w:t>
      </w:r>
      <w:r w:rsidR="00E345F4">
        <w:t xml:space="preserve">Rate constants for OSR with respect to </w:t>
      </w:r>
      <w:r w:rsidR="00E345F4" w:rsidRPr="00E345F4">
        <w:rPr>
          <w:vertAlign w:val="superscript"/>
        </w:rPr>
        <w:t>32</w:t>
      </w:r>
      <w:r w:rsidR="00E345F4">
        <w:t xml:space="preserve">S were assumed to be “1” (a </w:t>
      </w:r>
      <w:proofErr w:type="spellStart"/>
      <w:r w:rsidR="00E345F4">
        <w:t>unitless</w:t>
      </w:r>
      <w:proofErr w:type="spellEnd"/>
      <w:r w:rsidR="00E345F4">
        <w:t xml:space="preserve"> scaling parameter). </w:t>
      </w:r>
      <w:r w:rsidR="00B864F1">
        <w:t>AOM-SR</w:t>
      </w:r>
      <w:r w:rsidR="00E345F4">
        <w:t xml:space="preserve"> rates </w:t>
      </w:r>
      <w:r w:rsidR="005E7E6E">
        <w:t>(</w:t>
      </w:r>
      <w:r w:rsidR="005E7E6E" w:rsidRPr="005E7E6E">
        <w:rPr>
          <w:vertAlign w:val="superscript"/>
        </w:rPr>
        <w:t>32</w:t>
      </w:r>
      <w:r w:rsidR="005E7E6E">
        <w:t>R</w:t>
      </w:r>
      <w:r w:rsidR="005E7E6E" w:rsidRPr="005E7E6E">
        <w:rPr>
          <w:vertAlign w:val="subscript"/>
        </w:rPr>
        <w:t>AOM</w:t>
      </w:r>
      <w:r w:rsidR="005E7E6E">
        <w:t xml:space="preserve">) </w:t>
      </w:r>
      <w:r w:rsidR="00E345F4">
        <w:t xml:space="preserve">for </w:t>
      </w:r>
      <w:r w:rsidR="00E345F4" w:rsidRPr="00E345F4">
        <w:rPr>
          <w:vertAlign w:val="superscript"/>
        </w:rPr>
        <w:t>32</w:t>
      </w:r>
      <w:r w:rsidR="00E345F4">
        <w:t xml:space="preserve">S were calculated </w:t>
      </w:r>
      <w:r w:rsidR="00551ECA">
        <w:t>from</w:t>
      </w:r>
      <w:r w:rsidR="00E345F4">
        <w:t xml:space="preserve"> </w:t>
      </w:r>
      <w:r w:rsidR="00E345F4">
        <w:lastRenderedPageBreak/>
        <w:t xml:space="preserve">the </w:t>
      </w:r>
      <w:r w:rsidR="00551ECA">
        <w:t xml:space="preserve">difference of </w:t>
      </w:r>
      <w:r w:rsidR="00E345F4">
        <w:t>net SRR and OSR rates; rate constant</w:t>
      </w:r>
      <w:r w:rsidR="005E7E6E">
        <w:t>s</w:t>
      </w:r>
      <w:r w:rsidR="00E345F4">
        <w:t xml:space="preserve"> (</w:t>
      </w:r>
      <w:r w:rsidR="00E345F4" w:rsidRPr="005E7E6E">
        <w:rPr>
          <w:vertAlign w:val="superscript"/>
        </w:rPr>
        <w:t>32</w:t>
      </w:r>
      <w:r w:rsidR="00E345F4">
        <w:t>k</w:t>
      </w:r>
      <w:r w:rsidR="00E345F4" w:rsidRPr="005E7E6E">
        <w:rPr>
          <w:vertAlign w:val="subscript"/>
        </w:rPr>
        <w:t>AOM</w:t>
      </w:r>
      <w:r w:rsidR="00E345F4">
        <w:t>)</w:t>
      </w:r>
      <w:r w:rsidR="005E7E6E">
        <w:t xml:space="preserve"> were estimated following the expression:</w:t>
      </w:r>
    </w:p>
    <w:p w14:paraId="703CA201" w14:textId="77777777" w:rsidR="005E7E6E" w:rsidRDefault="005E7E6E" w:rsidP="00FF0046">
      <w:pPr>
        <w:spacing w:line="360" w:lineRule="auto"/>
        <w:jc w:val="center"/>
      </w:pPr>
      <w:r w:rsidRPr="005E7E6E">
        <w:rPr>
          <w:vertAlign w:val="superscript"/>
        </w:rPr>
        <w:t>32</w:t>
      </w:r>
      <w:r>
        <w:t>k</w:t>
      </w:r>
      <w:r w:rsidRPr="005E7E6E">
        <w:rPr>
          <w:vertAlign w:val="subscript"/>
        </w:rPr>
        <w:t>AOM</w:t>
      </w:r>
      <w:r>
        <w:rPr>
          <w:vertAlign w:val="subscript"/>
        </w:rPr>
        <w:t xml:space="preserve"> </w:t>
      </w:r>
      <w:r>
        <w:t xml:space="preserve">= </w:t>
      </w:r>
      <w:r w:rsidRPr="005E7E6E">
        <w:rPr>
          <w:vertAlign w:val="superscript"/>
        </w:rPr>
        <w:t>32</w:t>
      </w:r>
      <w:r>
        <w:t>R</w:t>
      </w:r>
      <w:r w:rsidRPr="005E7E6E">
        <w:rPr>
          <w:vertAlign w:val="subscript"/>
        </w:rPr>
        <w:t>AOM</w:t>
      </w:r>
      <w:r>
        <w:t xml:space="preserve"> / </w:t>
      </w:r>
      <w:r w:rsidRPr="005E7E6E">
        <w:rPr>
          <w:vertAlign w:val="superscript"/>
        </w:rPr>
        <w:t>32</w:t>
      </w:r>
      <w:r>
        <w:t>SO</w:t>
      </w:r>
      <w:r w:rsidRPr="005E7E6E">
        <w:rPr>
          <w:vertAlign w:val="subscript"/>
        </w:rPr>
        <w:t>4</w:t>
      </w:r>
      <w:r>
        <w:t xml:space="preserve">   </w:t>
      </w:r>
      <w:r w:rsidR="00993A02">
        <w:fldChar w:fldCharType="begin"/>
      </w:r>
      <w:r>
        <w:instrText xml:space="preserve"> MACROBUTTON MTPlaceRef \* MERGEFORMAT </w:instrText>
      </w:r>
      <w:r w:rsidR="00993A02">
        <w:fldChar w:fldCharType="begin"/>
      </w:r>
      <w:r>
        <w:instrText xml:space="preserve"> SEQ MTEqn \h \* MERGEFORMAT </w:instrText>
      </w:r>
      <w:r w:rsidR="00993A02">
        <w:fldChar w:fldCharType="end"/>
      </w:r>
      <w:bookmarkStart w:id="0" w:name="ZEqnNum681379"/>
      <w:r>
        <w:instrText>(S</w:instrText>
      </w:r>
      <w:r w:rsidR="00CB65F1">
        <w:fldChar w:fldCharType="begin"/>
      </w:r>
      <w:r w:rsidR="00CB65F1">
        <w:instrText xml:space="preserve"> SEQ MTEqn \c \* Arabic \* MERGEFORMAT </w:instrText>
      </w:r>
      <w:r w:rsidR="00CB65F1">
        <w:fldChar w:fldCharType="separate"/>
      </w:r>
      <w:r w:rsidR="00350BFF">
        <w:rPr>
          <w:noProof/>
        </w:rPr>
        <w:instrText>1</w:instrText>
      </w:r>
      <w:r w:rsidR="00CB65F1">
        <w:rPr>
          <w:noProof/>
        </w:rPr>
        <w:fldChar w:fldCharType="end"/>
      </w:r>
      <w:r>
        <w:instrText>)</w:instrText>
      </w:r>
      <w:bookmarkEnd w:id="0"/>
      <w:r w:rsidR="00993A02">
        <w:fldChar w:fldCharType="end"/>
      </w:r>
    </w:p>
    <w:p w14:paraId="611FF51A" w14:textId="558EDAE8" w:rsidR="005E7E6E" w:rsidRDefault="0079796E" w:rsidP="00A33D24">
      <w:pPr>
        <w:spacing w:line="360" w:lineRule="auto"/>
        <w:jc w:val="both"/>
      </w:pPr>
      <w:r>
        <w:t>which is 0 m/</w:t>
      </w:r>
      <w:proofErr w:type="spellStart"/>
      <w:r>
        <w:t>yr</w:t>
      </w:r>
      <w:proofErr w:type="spellEnd"/>
      <w:r>
        <w:t xml:space="preserve"> until 17.5 cm and </w:t>
      </w:r>
      <w:r w:rsidR="00B864F1">
        <w:t>1.35</w:t>
      </w:r>
      <w:r>
        <w:t xml:space="preserve"> m/</w:t>
      </w:r>
      <w:proofErr w:type="spellStart"/>
      <w:r>
        <w:t>yr</w:t>
      </w:r>
      <w:proofErr w:type="spellEnd"/>
      <w:r>
        <w:t xml:space="preserve"> at 20 cm. </w:t>
      </w:r>
      <w:r w:rsidR="00551ECA">
        <w:t>The</w:t>
      </w:r>
      <w:r>
        <w:t xml:space="preserve"> fractionation</w:t>
      </w:r>
      <w:r w:rsidR="008E49B4">
        <w:t>s</w:t>
      </w:r>
      <w:r>
        <w:t xml:space="preserve"> (</w:t>
      </w:r>
      <w:r w:rsidRPr="0079796E">
        <w:rPr>
          <w:rFonts w:ascii="Symbol" w:hAnsi="Symbol"/>
        </w:rPr>
        <w:t></w:t>
      </w:r>
      <w:r>
        <w:t xml:space="preserve">) of OSR and </w:t>
      </w:r>
      <w:r w:rsidR="00B864F1">
        <w:t>AOM-SR</w:t>
      </w:r>
      <w:r>
        <w:t xml:space="preserve"> were estimated in a rate-dependent fashion</w:t>
      </w:r>
      <w:r w:rsidR="00B53448">
        <w:t xml:space="preserve"> </w:t>
      </w:r>
      <w:r w:rsidR="00993A02">
        <w:fldChar w:fldCharType="begin"/>
      </w:r>
      <w:r w:rsidR="00B53448">
        <w:instrText xml:space="preserve"> ADDIN ZOTERO_ITEM CSL_CITATION {"citationID":"gpsprr8o4","properties":{"formattedCitation":"(Dale et al., 2009)","plainCitation":"(Dale et al., 2009)"},"citationItems":[{"id":888,"uris":["http://zotero.org/users/1082502/items/UKQKWMXB"],"uri":["http://zotero.org/users/1082502/items/UKQKWMXB"],"itemData":{"id":888,"type":"article-journal","title":"An integrated sulfur isotope model for Namibian shelf sediments","container-title":"Geochimica et Cosmochimica Acta","page":"1924-1944","volume":"73","issue":"7","source":"ScienceDirect","abstract":"In this study the sulfur cycle in the organic-rich mud belt underlying the highly productive upwelling waters of the Namibian shelf is quantified using a 1D reaction-transport model. The model calculates vertical concentration and reaction rate profiles in the top 500 cm of sediment which are compared to a comprehensive dataset which includes carbon, sulfur, nitrogen and iron compounds as well as sulfate reduction (SR) rates and stable sulfur isotopes (32S, 34S). The sulfur dynamics in the well-mixed surface sediments are strongly influenced by the activity of the large sulfur bacteria Thiomargarita namibiensis which oxidize sulfide (H2S) to sulfate ( SO 4 2 - ) using sea water nitrate ( NO 3 - ) as the terminal electron acceptor. Microbial sulfide oxidation (SOx) is highly efficient, and the model predicts intense cycling between SO 4 2 - and H2S driven by coupled SR and SOx at rates exceeding 6.0 mol S m−2 y−1. More than 96% of the SR is supported by SOx, and only 2–3% of the SO 4 2 - pool diffuses directly into the sediment from the sea water. A fraction of the SO 4 2 - produced by Thiomargarita is drawn down deeper into the sediment where it is used to oxidize methane anaerobically, thus preventing high methane concentrations close to the sediment surface. Only a small fraction of total H2S production is trapped as sedimentary sulfide, mainly pyrite (FeS2) and organic sulfur (Sorg) (</w:instrText>
      </w:r>
      <w:r w:rsidR="00B53448">
        <w:rPr>
          <w:rFonts w:ascii="Cambria Math" w:hAnsi="Cambria Math" w:cs="Cambria Math"/>
        </w:rPr>
        <w:instrText>∼</w:instrText>
      </w:r>
      <w:r w:rsidR="00B53448">
        <w:rPr>
          <w:rFonts w:ascii="Calibri" w:hAnsi="Calibri" w:cs="Calibri"/>
        </w:rPr>
        <w:instrText>0.3 wt.%)</w:instrText>
      </w:r>
      <w:r w:rsidR="00B53448">
        <w:instrText xml:space="preserve">, with a sulfur burial efficiency which is amongst the lowest values reported for marine sediments (&amp;lt;1%). Yet, despite intense SR, FeS2 and Sorg show an isotope composition of </w:instrText>
      </w:r>
      <w:r w:rsidR="00B53448">
        <w:rPr>
          <w:rFonts w:ascii="Cambria Math" w:hAnsi="Cambria Math" w:cs="Cambria Math"/>
        </w:rPr>
        <w:instrText>∼</w:instrText>
      </w:r>
      <w:r w:rsidR="00B53448">
        <w:rPr>
          <w:rFonts w:ascii="Calibri" w:hAnsi="Calibri" w:cs="Calibri"/>
        </w:rPr>
        <w:instrText>5 ‰ at 500 cm depth. These heavy values were simulated by assuming that a fr</w:instrText>
      </w:r>
      <w:r w:rsidR="00B53448">
        <w:instrText xml:space="preserve">action of the solid phase sulfur exchanges isotopes with the dissolved sulfide pool. An enrichment in H2S of 34S towards the sediment-water interface suggests that Thiomargarita preferentially remove H232S from the pore water. A fractionation of 20–30‰ was estimated for SOx (εSOx) with the model, along with a maximum fractionation for SR (εSR–max) of 100‰. These values are far higher than previous laboratory-based estimates for these processes. Mass balance calculations indicate negligible disproportionation of autochthonous elemental sulfur; an explanation routinely cited in the literature to account for the large fractionations in SR. Instead, the model indicates that repeated multi-stepped sulfide oxidation and intracellular disproportionation by Thiomargarita could, in principle, allow the measured isotope data to be simulated using much lower fractionations for εSOx (5‰) and εSR (78‰).","DOI":"10.1016/j.gca.2008.12.015","ISSN":"0016-7037","journalAbbreviation":"Geochimica et Cosmochimica Acta","author":[{"family":"Dale","given":"Andrew W."},{"family":"Brüchert","given":"Volker"},{"family":"Alperin","given":"Marc"},{"family":"Regnier","given":"Pierre"}],"issued":{"date-parts":[["2009"]],"season":"avril"}}}],"schema":"https://github.com/citation-style-language/schema/raw/master/csl-citation.json"} </w:instrText>
      </w:r>
      <w:r w:rsidR="00993A02">
        <w:fldChar w:fldCharType="separate"/>
      </w:r>
      <w:r w:rsidR="00B53448" w:rsidRPr="00B53448">
        <w:rPr>
          <w:rFonts w:ascii="Calibri" w:hAnsi="Calibri"/>
        </w:rPr>
        <w:t>(Dale et al., 2009)</w:t>
      </w:r>
      <w:r w:rsidR="00993A02">
        <w:fldChar w:fldCharType="end"/>
      </w:r>
      <w:r>
        <w:t>:</w:t>
      </w:r>
    </w:p>
    <w:p w14:paraId="220AC049" w14:textId="77777777" w:rsidR="0079796E" w:rsidRDefault="0079796E" w:rsidP="00FF0046">
      <w:pPr>
        <w:spacing w:line="360" w:lineRule="auto"/>
        <w:jc w:val="center"/>
      </w:pPr>
      <w:r w:rsidRPr="0079796E">
        <w:rPr>
          <w:rFonts w:ascii="Symbol" w:hAnsi="Symbol"/>
        </w:rPr>
        <w:t></w:t>
      </w:r>
      <w:proofErr w:type="spellStart"/>
      <w:r w:rsidRPr="0079796E">
        <w:rPr>
          <w:vertAlign w:val="subscript"/>
        </w:rPr>
        <w:t>i</w:t>
      </w:r>
      <w:proofErr w:type="spellEnd"/>
      <w:r>
        <w:t xml:space="preserve"> = </w:t>
      </w:r>
      <w:r w:rsidR="00647F9A" w:rsidRPr="00647F9A">
        <w:rPr>
          <w:rFonts w:ascii="Symbol" w:hAnsi="Symbol"/>
        </w:rPr>
        <w:t></w:t>
      </w:r>
      <w:r w:rsidR="00647F9A" w:rsidRPr="00647F9A">
        <w:rPr>
          <w:vertAlign w:val="subscript"/>
        </w:rPr>
        <w:t>max</w:t>
      </w:r>
      <w:r w:rsidR="00647F9A">
        <w:t xml:space="preserve"> - </w:t>
      </w:r>
      <w:proofErr w:type="spellStart"/>
      <w:r>
        <w:t>m</w:t>
      </w:r>
      <w:r w:rsidRPr="0079796E">
        <w:rPr>
          <w:vertAlign w:val="subscript"/>
        </w:rPr>
        <w:t>SR</w:t>
      </w:r>
      <w:proofErr w:type="spellEnd"/>
      <w:r>
        <w:t xml:space="preserve"> * </w:t>
      </w:r>
      <w:proofErr w:type="spellStart"/>
      <w:r>
        <w:t>R</w:t>
      </w:r>
      <w:r w:rsidRPr="0079796E">
        <w:rPr>
          <w:vertAlign w:val="subscript"/>
        </w:rPr>
        <w:t>i</w:t>
      </w:r>
      <w:proofErr w:type="spellEnd"/>
      <w:r>
        <w:t xml:space="preserve">   </w:t>
      </w:r>
      <w:r w:rsidR="00993A02">
        <w:fldChar w:fldCharType="begin"/>
      </w:r>
      <w:r>
        <w:instrText xml:space="preserve"> MACROBUTTON MTPlaceRef \* MERGEFORMAT </w:instrText>
      </w:r>
      <w:r w:rsidR="00993A02">
        <w:fldChar w:fldCharType="begin"/>
      </w:r>
      <w:r>
        <w:instrText xml:space="preserve"> SEQ MTEqn \h \* MERGEFORMAT </w:instrText>
      </w:r>
      <w:r w:rsidR="00993A02">
        <w:fldChar w:fldCharType="end"/>
      </w:r>
      <w:bookmarkStart w:id="1" w:name="ZEqnNum929927"/>
      <w:r>
        <w:instrText>(S</w:instrText>
      </w:r>
      <w:r w:rsidR="00CB65F1">
        <w:fldChar w:fldCharType="begin"/>
      </w:r>
      <w:r w:rsidR="00CB65F1">
        <w:instrText xml:space="preserve"> SEQ MTEqn \c \* Arabic \* MERGEFORMAT </w:instrText>
      </w:r>
      <w:r w:rsidR="00CB65F1">
        <w:fldChar w:fldCharType="separate"/>
      </w:r>
      <w:r w:rsidR="00350BFF">
        <w:rPr>
          <w:noProof/>
        </w:rPr>
        <w:instrText>2</w:instrText>
      </w:r>
      <w:r w:rsidR="00CB65F1">
        <w:rPr>
          <w:noProof/>
        </w:rPr>
        <w:fldChar w:fldCharType="end"/>
      </w:r>
      <w:r>
        <w:instrText>)</w:instrText>
      </w:r>
      <w:bookmarkEnd w:id="1"/>
      <w:r w:rsidR="00993A02">
        <w:fldChar w:fldCharType="end"/>
      </w:r>
    </w:p>
    <w:p w14:paraId="117F8232" w14:textId="594B8BA5" w:rsidR="00647F9A" w:rsidRDefault="00FF0046" w:rsidP="00A33D24">
      <w:pPr>
        <w:spacing w:line="360" w:lineRule="auto"/>
        <w:jc w:val="both"/>
      </w:pPr>
      <w:r>
        <w:t>W</w:t>
      </w:r>
      <w:r w:rsidR="0079796E">
        <w:t>here</w:t>
      </w:r>
      <w:r>
        <w:t xml:space="preserve"> </w:t>
      </w:r>
      <w:proofErr w:type="spellStart"/>
      <w:r>
        <w:t>i</w:t>
      </w:r>
      <w:proofErr w:type="spellEnd"/>
      <w:r>
        <w:t xml:space="preserve"> = AOM or OSR </w:t>
      </w:r>
      <w:proofErr w:type="gramStart"/>
      <w:r>
        <w:t xml:space="preserve">and </w:t>
      </w:r>
      <w:r w:rsidR="0079796E">
        <w:t xml:space="preserve"> </w:t>
      </w:r>
      <w:r w:rsidR="00647F9A" w:rsidRPr="00647F9A">
        <w:rPr>
          <w:rFonts w:ascii="Symbol" w:hAnsi="Symbol"/>
        </w:rPr>
        <w:t></w:t>
      </w:r>
      <w:proofErr w:type="gramEnd"/>
      <w:r w:rsidR="00647F9A" w:rsidRPr="00647F9A">
        <w:rPr>
          <w:vertAlign w:val="subscript"/>
        </w:rPr>
        <w:t>max</w:t>
      </w:r>
      <w:r w:rsidR="00647F9A">
        <w:t xml:space="preserve"> is the theoretical maximum fractionation, </w:t>
      </w:r>
      <w:r w:rsidR="0079796E">
        <w:t xml:space="preserve">R is the net rate of OSR or </w:t>
      </w:r>
      <w:r w:rsidR="00B864F1">
        <w:t>AOM-SR</w:t>
      </w:r>
      <w:r w:rsidR="0079796E">
        <w:t xml:space="preserve"> (i.e., </w:t>
      </w:r>
      <w:r w:rsidR="0079796E" w:rsidRPr="0079796E">
        <w:rPr>
          <w:vertAlign w:val="superscript"/>
        </w:rPr>
        <w:t>32</w:t>
      </w:r>
      <w:r w:rsidR="0079796E">
        <w:t xml:space="preserve">R + </w:t>
      </w:r>
      <w:r w:rsidR="0079796E" w:rsidRPr="0079796E">
        <w:rPr>
          <w:vertAlign w:val="superscript"/>
        </w:rPr>
        <w:t>34</w:t>
      </w:r>
      <w:r w:rsidR="0079796E">
        <w:t>R)</w:t>
      </w:r>
      <w:r w:rsidR="00647F9A">
        <w:t xml:space="preserve"> and</w:t>
      </w:r>
      <w:r w:rsidR="0079796E">
        <w:t xml:space="preserve"> </w:t>
      </w:r>
      <w:proofErr w:type="spellStart"/>
      <w:r w:rsidR="0079796E">
        <w:t>m</w:t>
      </w:r>
      <w:r w:rsidR="0079796E" w:rsidRPr="00647F9A">
        <w:rPr>
          <w:vertAlign w:val="subscript"/>
        </w:rPr>
        <w:t>SR</w:t>
      </w:r>
      <w:proofErr w:type="spellEnd"/>
      <w:r w:rsidR="0079796E">
        <w:t xml:space="preserve"> </w:t>
      </w:r>
      <w:r w:rsidR="00647F9A">
        <w:t xml:space="preserve">determines the variability of fractionation with rates. </w:t>
      </w:r>
      <w:r w:rsidR="0079796E">
        <w:t xml:space="preserve"> </w:t>
      </w:r>
      <w:r w:rsidR="00647F9A">
        <w:t xml:space="preserve">We used 78‰ for </w:t>
      </w:r>
      <w:r w:rsidR="00647F9A" w:rsidRPr="00647F9A">
        <w:rPr>
          <w:rFonts w:ascii="Symbol" w:hAnsi="Symbol"/>
        </w:rPr>
        <w:t></w:t>
      </w:r>
      <w:r w:rsidR="00647F9A" w:rsidRPr="00647F9A">
        <w:rPr>
          <w:vertAlign w:val="subscript"/>
        </w:rPr>
        <w:t>max</w:t>
      </w:r>
      <w:r w:rsidR="00647F9A">
        <w:t xml:space="preserve"> and 1.5 </w:t>
      </w:r>
      <w:proofErr w:type="spellStart"/>
      <w:r w:rsidR="00647F9A">
        <w:t>yr</w:t>
      </w:r>
      <w:proofErr w:type="spellEnd"/>
      <w:r w:rsidR="00647F9A">
        <w:t>/</w:t>
      </w:r>
      <w:proofErr w:type="spellStart"/>
      <w:r w:rsidR="00647F9A">
        <w:t>mM</w:t>
      </w:r>
      <w:proofErr w:type="spellEnd"/>
      <w:r w:rsidR="00647F9A">
        <w:t xml:space="preserve"> for </w:t>
      </w:r>
      <w:proofErr w:type="spellStart"/>
      <w:r w:rsidR="00647F9A">
        <w:t>m</w:t>
      </w:r>
      <w:r w:rsidR="00647F9A" w:rsidRPr="0079796E">
        <w:rPr>
          <w:vertAlign w:val="subscript"/>
        </w:rPr>
        <w:t>SR</w:t>
      </w:r>
      <w:proofErr w:type="spellEnd"/>
      <w:r w:rsidR="00647F9A">
        <w:t xml:space="preserve"> following the suggestions from Dale et a</w:t>
      </w:r>
      <w:r w:rsidR="00B53448">
        <w:t xml:space="preserve">l. (2009) and Farquhar et al. </w:t>
      </w:r>
      <w:r w:rsidR="00993A02">
        <w:fldChar w:fldCharType="begin"/>
      </w:r>
      <w:r w:rsidR="00B53448">
        <w:instrText xml:space="preserve"> ADDIN ZOTERO_ITEM CSL_CITATION {"citationID":"YRVGOEav","properties":{"formattedCitation":"(2003)","plainCitation":"(2003)"},"citationItems":[{"id":577,"uris":["http://zotero.org/users/1082502/items/J892PRDW"],"uri":["http://zotero.org/users/1082502/items/J892PRDW"],"itemData":{"id":577,"type":"article-journal","title":"Multiple sulphur isotopic interpretations of biosynthetic pathways: implications for biological signatures in the sulphur isotope record","container-title":"Geobiology","page":"27-36","volume":"1","issue":"1","source":"Wiley Online Library","abstract":"Isotopic fractionations produced by biosynthetic processes are the result of networks of individual biochemical reactions that operate at differing efficiencies and with distinct fractionation factors. These reaction networks determine the magnitude and direction of the net isotopic fractionation associated with a given process. Here we examine the ways that biological reaction networks control mass-dependent isotopic fractionations of multiple sulphur isotopes. We describe how material-flow through some networks can produce characteristic multiple-sulphur-isotope signatures that differ from those produced by their constituent steps and demonstrate that experimental results with Archaeaglobus fulgidus can be evaluated using multiple sulphur isotopes in the context of previously published models for dissimilatory sulphate reduction. Our evaluation of these data is consistent with the interpretation that the dependence of sulphur isotope fractionation on external sulphate concentration is rooted in differences between the forward and reverse  ↔ adenosine-5′-phosphosulphate (APS) ↔  steps. The framework provided by our analysis has the potential to evaluate the biosynthetic pathways that produce the isotopic fractionations, to isolate the primary sources of isotopic fractionations (sulphate reduction or disproportionation reactions) and to establish criteria to identify the signature of specific sulphur metabolisms in the geological record. The results highlight the new types of information that can be obtained by including measurements of δ33S {δ33S = [(33S/32S)sample/(33S/32S)reference − 1]*1000} with measurements of δ34S.","DOI":"10.1046/j.1472-4669.2003.00007.x","ISSN":"1472-4669","shortTitle":"Multiple sulphur isotopic interpretations of biosynthetic pathways","language":"en","author":[{"family":"Farquhar","given":"James"},{"family":"Johnston","given":"David T."},{"family":"Wing","given":"Boswell A."},{"family":"Habicht","given":"Kirsten S."},{"family":"Canfield","given":"Donald E."},{"family":"Airieau","given":"Sabine"},{"family":"Thiemens","given":"Mark H."}],"issued":{"date-parts":[["2003",7,1]]}},"suppress-author":true}],"schema":"https://github.com/citation-style-language/schema/raw/master/csl-citation.json"} </w:instrText>
      </w:r>
      <w:r w:rsidR="00993A02">
        <w:fldChar w:fldCharType="separate"/>
      </w:r>
      <w:r w:rsidR="00B53448" w:rsidRPr="00B53448">
        <w:rPr>
          <w:rFonts w:ascii="Calibri" w:hAnsi="Calibri"/>
        </w:rPr>
        <w:t>(2003)</w:t>
      </w:r>
      <w:r w:rsidR="00993A02">
        <w:fldChar w:fldCharType="end"/>
      </w:r>
      <w:r w:rsidR="00647F9A">
        <w:t xml:space="preserve">. The rate constants, </w:t>
      </w:r>
      <w:r w:rsidR="00647F9A" w:rsidRPr="00647F9A">
        <w:rPr>
          <w:vertAlign w:val="superscript"/>
        </w:rPr>
        <w:t>34</w:t>
      </w:r>
      <w:r w:rsidR="00647F9A">
        <w:t>k</w:t>
      </w:r>
      <w:r w:rsidR="00647F9A" w:rsidRPr="00647F9A">
        <w:rPr>
          <w:vertAlign w:val="subscript"/>
        </w:rPr>
        <w:t>AOM</w:t>
      </w:r>
      <w:r w:rsidR="00647F9A">
        <w:t xml:space="preserve"> and </w:t>
      </w:r>
      <w:r w:rsidR="00647F9A" w:rsidRPr="00647F9A">
        <w:rPr>
          <w:vertAlign w:val="superscript"/>
        </w:rPr>
        <w:t>34</w:t>
      </w:r>
      <w:r w:rsidR="00647F9A">
        <w:t>k</w:t>
      </w:r>
      <w:r w:rsidR="00647F9A" w:rsidRPr="00647F9A">
        <w:rPr>
          <w:vertAlign w:val="subscript"/>
        </w:rPr>
        <w:t>OSR</w:t>
      </w:r>
      <w:r w:rsidR="00647F9A">
        <w:t>, can then be estimated following:</w:t>
      </w:r>
    </w:p>
    <w:p w14:paraId="63B26B30" w14:textId="77777777" w:rsidR="00647F9A" w:rsidRPr="00FF0046" w:rsidRDefault="00647F9A" w:rsidP="00FF0046">
      <w:pPr>
        <w:spacing w:line="360" w:lineRule="auto"/>
        <w:jc w:val="center"/>
      </w:pPr>
      <w:r w:rsidRPr="00FF0046">
        <w:rPr>
          <w:vertAlign w:val="superscript"/>
        </w:rPr>
        <w:t>32</w:t>
      </w:r>
      <w:r w:rsidRPr="00FF0046">
        <w:t>k</w:t>
      </w:r>
      <w:r w:rsidRPr="00FF0046">
        <w:rPr>
          <w:vertAlign w:val="subscript"/>
        </w:rPr>
        <w:t>i</w:t>
      </w:r>
      <w:r w:rsidRPr="00FF0046">
        <w:t xml:space="preserve"> / </w:t>
      </w:r>
      <w:r w:rsidRPr="00FF0046">
        <w:rPr>
          <w:vertAlign w:val="superscript"/>
        </w:rPr>
        <w:t>34</w:t>
      </w:r>
      <w:r w:rsidRPr="00FF0046">
        <w:t>k</w:t>
      </w:r>
      <w:r w:rsidRPr="00FF0046">
        <w:rPr>
          <w:vertAlign w:val="subscript"/>
        </w:rPr>
        <w:t>i</w:t>
      </w:r>
      <w:r w:rsidRPr="00FF0046">
        <w:t xml:space="preserve"> = </w:t>
      </w:r>
      <w:r w:rsidRPr="00647F9A">
        <w:rPr>
          <w:rFonts w:ascii="Symbol" w:hAnsi="Symbol"/>
        </w:rPr>
        <w:t></w:t>
      </w:r>
      <w:r w:rsidRPr="00FF0046">
        <w:rPr>
          <w:vertAlign w:val="subscript"/>
        </w:rPr>
        <w:t>I</w:t>
      </w:r>
      <w:r w:rsidRPr="00FF0046">
        <w:t xml:space="preserve">   </w:t>
      </w:r>
      <w:r w:rsidR="00993A02">
        <w:fldChar w:fldCharType="begin"/>
      </w:r>
      <w:r w:rsidRPr="00FF0046">
        <w:instrText xml:space="preserve"> MACROBUTTON MTPlaceRef \* MERGEFORMAT </w:instrText>
      </w:r>
      <w:r w:rsidR="00993A02">
        <w:fldChar w:fldCharType="begin"/>
      </w:r>
      <w:r w:rsidRPr="00FF0046">
        <w:instrText xml:space="preserve"> SEQ MTEqn \h \* MERGEFORMAT </w:instrText>
      </w:r>
      <w:r w:rsidR="00993A02">
        <w:fldChar w:fldCharType="end"/>
      </w:r>
      <w:r w:rsidRPr="00FF0046">
        <w:instrText>(S</w:instrText>
      </w:r>
      <w:r w:rsidR="00CB65F1">
        <w:fldChar w:fldCharType="begin"/>
      </w:r>
      <w:r w:rsidR="00CB65F1">
        <w:instrText xml:space="preserve"> SEQ MTEqn \c \* Arabic \* MERGEFORMAT </w:instrText>
      </w:r>
      <w:r w:rsidR="00CB65F1">
        <w:fldChar w:fldCharType="separate"/>
      </w:r>
      <w:r w:rsidR="00350BFF" w:rsidRPr="00FF0046">
        <w:rPr>
          <w:noProof/>
        </w:rPr>
        <w:instrText>3</w:instrText>
      </w:r>
      <w:r w:rsidR="00CB65F1">
        <w:rPr>
          <w:noProof/>
        </w:rPr>
        <w:fldChar w:fldCharType="end"/>
      </w:r>
      <w:r w:rsidRPr="00FF0046">
        <w:instrText>)</w:instrText>
      </w:r>
      <w:r w:rsidR="00993A02">
        <w:fldChar w:fldCharType="end"/>
      </w:r>
    </w:p>
    <w:p w14:paraId="4EC70506" w14:textId="77777777" w:rsidR="00647F9A" w:rsidRPr="00FF0046" w:rsidRDefault="00647F9A" w:rsidP="00FF0046">
      <w:pPr>
        <w:spacing w:line="360" w:lineRule="auto"/>
        <w:jc w:val="center"/>
      </w:pPr>
      <w:r w:rsidRPr="00647F9A">
        <w:rPr>
          <w:rFonts w:ascii="Symbol" w:hAnsi="Symbol"/>
        </w:rPr>
        <w:t></w:t>
      </w:r>
      <w:proofErr w:type="spellStart"/>
      <w:r w:rsidRPr="00FF0046">
        <w:rPr>
          <w:vertAlign w:val="subscript"/>
        </w:rPr>
        <w:t>i</w:t>
      </w:r>
      <w:proofErr w:type="spellEnd"/>
      <w:r w:rsidRPr="00FF0046">
        <w:t xml:space="preserve"> = 1+</w:t>
      </w:r>
      <w:r w:rsidRPr="00647F9A">
        <w:rPr>
          <w:rFonts w:ascii="Symbol" w:hAnsi="Symbol"/>
        </w:rPr>
        <w:t></w:t>
      </w:r>
      <w:proofErr w:type="spellStart"/>
      <w:r w:rsidRPr="00FF0046">
        <w:rPr>
          <w:vertAlign w:val="subscript"/>
        </w:rPr>
        <w:t>i</w:t>
      </w:r>
      <w:proofErr w:type="spellEnd"/>
      <w:r w:rsidRPr="00FF0046">
        <w:t xml:space="preserve">/1000   </w:t>
      </w:r>
      <w:r w:rsidR="00993A02">
        <w:fldChar w:fldCharType="begin"/>
      </w:r>
      <w:r w:rsidRPr="00FF0046">
        <w:instrText xml:space="preserve"> MACROBUTTON MTPlaceRef \* MERGEFORMAT </w:instrText>
      </w:r>
      <w:r w:rsidR="00993A02">
        <w:fldChar w:fldCharType="begin"/>
      </w:r>
      <w:r w:rsidRPr="00FF0046">
        <w:instrText xml:space="preserve"> SEQ MTEqn \h \* MERGEFORMAT </w:instrText>
      </w:r>
      <w:r w:rsidR="00993A02">
        <w:fldChar w:fldCharType="end"/>
      </w:r>
      <w:r w:rsidRPr="00FF0046">
        <w:instrText>(S</w:instrText>
      </w:r>
      <w:r w:rsidR="00CB65F1">
        <w:fldChar w:fldCharType="begin"/>
      </w:r>
      <w:r w:rsidR="00CB65F1">
        <w:instrText xml:space="preserve"> SEQ MTEqn \c \* Arabic \* MERGEFORMAT </w:instrText>
      </w:r>
      <w:r w:rsidR="00CB65F1">
        <w:fldChar w:fldCharType="separate"/>
      </w:r>
      <w:r w:rsidR="00350BFF" w:rsidRPr="00FF0046">
        <w:rPr>
          <w:noProof/>
        </w:rPr>
        <w:instrText>4</w:instrText>
      </w:r>
      <w:r w:rsidR="00CB65F1">
        <w:rPr>
          <w:noProof/>
        </w:rPr>
        <w:fldChar w:fldCharType="end"/>
      </w:r>
      <w:r w:rsidRPr="00FF0046">
        <w:instrText>)</w:instrText>
      </w:r>
      <w:r w:rsidR="00993A02">
        <w:fldChar w:fldCharType="end"/>
      </w:r>
    </w:p>
    <w:p w14:paraId="4418A94C" w14:textId="77777777" w:rsidR="008E49B4" w:rsidRPr="008C4C36" w:rsidRDefault="008E49B4" w:rsidP="00FF0046">
      <w:pPr>
        <w:spacing w:line="360" w:lineRule="auto"/>
      </w:pPr>
      <w:r>
        <w:t xml:space="preserve">where </w:t>
      </w:r>
      <w:proofErr w:type="spellStart"/>
      <w:r w:rsidR="00FF0046" w:rsidRPr="00FF0046">
        <w:t>i</w:t>
      </w:r>
      <w:proofErr w:type="spellEnd"/>
      <w:r w:rsidR="00FF0046" w:rsidRPr="00FF0046">
        <w:t xml:space="preserve"> = AOM or OSR</w:t>
      </w:r>
      <w:r w:rsidR="00FF0046">
        <w:t xml:space="preserve"> and </w:t>
      </w:r>
      <w:r w:rsidRPr="008E49B4">
        <w:rPr>
          <w:rFonts w:ascii="Symbol" w:hAnsi="Symbol"/>
        </w:rPr>
        <w:t></w:t>
      </w:r>
      <w:r>
        <w:t xml:space="preserve"> is the fractionation factors for particular pathways. Once we estimated </w:t>
      </w:r>
      <w:r w:rsidRPr="008E49B4">
        <w:rPr>
          <w:vertAlign w:val="superscript"/>
        </w:rPr>
        <w:t>34</w:t>
      </w:r>
      <w:r>
        <w:t>R</w:t>
      </w:r>
      <w:r w:rsidRPr="008E49B4">
        <w:rPr>
          <w:vertAlign w:val="subscript"/>
        </w:rPr>
        <w:t>AOM</w:t>
      </w:r>
      <w:r>
        <w:t xml:space="preserve"> and </w:t>
      </w:r>
      <w:r w:rsidRPr="008E49B4">
        <w:rPr>
          <w:vertAlign w:val="superscript"/>
        </w:rPr>
        <w:t>34</w:t>
      </w:r>
      <w:r>
        <w:t>R</w:t>
      </w:r>
      <w:r w:rsidRPr="008E49B4">
        <w:rPr>
          <w:vertAlign w:val="subscript"/>
        </w:rPr>
        <w:t>OSR</w:t>
      </w:r>
      <w:r w:rsidRPr="008E49B4">
        <w:t xml:space="preserve"> following </w:t>
      </w:r>
      <w:r>
        <w:t>the similar fashion of Eq.</w:t>
      </w:r>
      <w:r w:rsidR="00993A02">
        <w:fldChar w:fldCharType="begin"/>
      </w:r>
      <w:r>
        <w:instrText xml:space="preserve"> GOTOBUTTON ZEqnNum681379  \* MERGEFORMAT </w:instrText>
      </w:r>
      <w:r w:rsidR="00993A02">
        <w:fldChar w:fldCharType="begin"/>
      </w:r>
      <w:r w:rsidR="00AE6406">
        <w:instrText xml:space="preserve"> REF ZEqnNum681379 \* Charformat \! \* MERGEFORMAT </w:instrText>
      </w:r>
      <w:r w:rsidR="00993A02">
        <w:fldChar w:fldCharType="separate"/>
      </w:r>
      <w:r w:rsidR="00350BFF">
        <w:instrText>(S1)</w:instrText>
      </w:r>
      <w:r w:rsidR="00993A02">
        <w:fldChar w:fldCharType="end"/>
      </w:r>
      <w:r w:rsidR="00993A02">
        <w:fldChar w:fldCharType="end"/>
      </w:r>
      <w:r>
        <w:t xml:space="preserve">, we can calculated the concentration of </w:t>
      </w:r>
      <w:r w:rsidRPr="008E49B4">
        <w:rPr>
          <w:vertAlign w:val="superscript"/>
        </w:rPr>
        <w:t>34</w:t>
      </w:r>
      <w:r>
        <w:t>SO</w:t>
      </w:r>
      <w:r w:rsidRPr="008E49B4">
        <w:rPr>
          <w:vertAlign w:val="subscript"/>
        </w:rPr>
        <w:t>4</w:t>
      </w:r>
      <w:r>
        <w:t xml:space="preserve"> as based on these rates and fluxes from grid above and below.  </w:t>
      </w:r>
      <w:r w:rsidR="008C4C36" w:rsidRPr="008C4C36">
        <w:rPr>
          <w:rFonts w:ascii="Symbol" w:hAnsi="Symbol"/>
        </w:rPr>
        <w:t></w:t>
      </w:r>
      <w:r w:rsidR="008C4C36" w:rsidRPr="008C4C36">
        <w:rPr>
          <w:vertAlign w:val="superscript"/>
        </w:rPr>
        <w:t>34</w:t>
      </w:r>
      <w:r w:rsidR="008C4C36">
        <w:t xml:space="preserve">S was then estimated from the concentration of </w:t>
      </w:r>
      <w:r w:rsidR="008C4C36" w:rsidRPr="008E49B4">
        <w:rPr>
          <w:vertAlign w:val="superscript"/>
        </w:rPr>
        <w:t>3</w:t>
      </w:r>
      <w:r w:rsidR="008C4C36">
        <w:rPr>
          <w:vertAlign w:val="superscript"/>
        </w:rPr>
        <w:t>2</w:t>
      </w:r>
      <w:r w:rsidR="008C4C36">
        <w:t>SO</w:t>
      </w:r>
      <w:r w:rsidR="008C4C36" w:rsidRPr="008E49B4">
        <w:rPr>
          <w:vertAlign w:val="subscript"/>
        </w:rPr>
        <w:t>4</w:t>
      </w:r>
      <w:r w:rsidR="008C4C36">
        <w:t xml:space="preserve"> and </w:t>
      </w:r>
      <w:r w:rsidR="008C4C36" w:rsidRPr="008E49B4">
        <w:rPr>
          <w:vertAlign w:val="superscript"/>
        </w:rPr>
        <w:t>34</w:t>
      </w:r>
      <w:r w:rsidR="008C4C36">
        <w:t>SO</w:t>
      </w:r>
      <w:r w:rsidR="008C4C36" w:rsidRPr="008E49B4">
        <w:rPr>
          <w:vertAlign w:val="subscript"/>
        </w:rPr>
        <w:t>4</w:t>
      </w:r>
      <w:r w:rsidR="00B7568D">
        <w:t>, and compared with the observed values.</w:t>
      </w:r>
    </w:p>
    <w:p w14:paraId="01239497" w14:textId="1D0EA455" w:rsidR="008E49B4" w:rsidRDefault="008E49B4" w:rsidP="00A33D24">
      <w:pPr>
        <w:spacing w:line="360" w:lineRule="auto"/>
        <w:jc w:val="both"/>
      </w:pPr>
      <w:r>
        <w:t xml:space="preserve">For the </w:t>
      </w:r>
      <w:r w:rsidR="008C4C36">
        <w:t>“</w:t>
      </w:r>
      <w:r>
        <w:t>variable-k</w:t>
      </w:r>
      <w:r w:rsidR="008C4C36">
        <w:t>”</w:t>
      </w:r>
      <w:r>
        <w:t xml:space="preserve"> mode, all the calculation is the same as above except that we assumed </w:t>
      </w:r>
      <w:r w:rsidR="008C4C36" w:rsidRPr="008C4C36">
        <w:rPr>
          <w:vertAlign w:val="superscript"/>
        </w:rPr>
        <w:t>32</w:t>
      </w:r>
      <w:r w:rsidR="008C4C36">
        <w:t>k</w:t>
      </w:r>
      <w:r w:rsidR="008C4C36" w:rsidRPr="008C4C36">
        <w:rPr>
          <w:vertAlign w:val="subscript"/>
        </w:rPr>
        <w:t>OSR</w:t>
      </w:r>
      <w:r w:rsidR="008C4C36">
        <w:t xml:space="preserve"> decreases by 0.05 for each grid deeper “.</w:t>
      </w:r>
      <w:r w:rsidR="00E658EE">
        <w:t xml:space="preserve"> </w:t>
      </w:r>
      <w:r w:rsidR="008C4C36" w:rsidRPr="008C4C36">
        <w:rPr>
          <w:vertAlign w:val="superscript"/>
        </w:rPr>
        <w:t>32</w:t>
      </w:r>
      <w:r w:rsidR="008C4C36">
        <w:t>k</w:t>
      </w:r>
      <w:r w:rsidR="008C4C36" w:rsidRPr="008C4C36">
        <w:rPr>
          <w:vertAlign w:val="subscript"/>
        </w:rPr>
        <w:t>OSR</w:t>
      </w:r>
      <w:r w:rsidR="008C4C36">
        <w:t xml:space="preserve"> decreases follow the exact fashion with sediment</w:t>
      </w:r>
      <w:r w:rsidR="00B53448">
        <w:t xml:space="preserve"> age as proposed by Middelburg </w:t>
      </w:r>
      <w:r w:rsidR="00993A02">
        <w:fldChar w:fldCharType="begin"/>
      </w:r>
      <w:r w:rsidR="00B53448">
        <w:instrText xml:space="preserve"> ADDIN ZOTERO_ITEM CSL_CITATION {"citationID":"1c3mr9fi08","properties":{"formattedCitation":"(1989)","plainCitation":"(1989)"},"citationItems":[{"id":355,"uris":["http://zotero.org/users/1082502/items/CM6MCWEH"],"uri":["http://zotero.org/users/1082502/items/CM6MCWEH"],"itemData":{"id":355,"type":"article-journal","title":"A simple rate model for organic matter decomposition in marine sediments","container-title":"Geochimica et Cosmochimica Acta","page":"1577-1581","volume":"53","issue":"7","source":"ScienceDirect","abstract":"A model is presented for the decomposition of organic matter in marine sediments. The model considers the organic matter as a whole. In this model the first-order rate parameters (k) gradually decrease with time (t) according to logk = −0.95 logt − 0.81 (N= 140; r = 0.987). This equation is found to be valid over eight orders of magnitude and is based on organic carbon versus depth profiles of well-dated cores and laboratory experiments. The predicted continuous decrease in the reactivity of organic matter is consistent with multi-G models and in situ measurements of sulphate reduction.\n\nAlthough all organic carbon versus depth profiles follow the same reactivity decrease with time, their reactivity at the sediment-water interface (i.e., “apparent initial age”) is different. Apparent initial ages calculated on the basis of various experiments and field measurements show consistent trends.","DOI":"10.1016/0016-7037(89)90239-1","ISSN":"0016-7037","author":[{"family":"Middelburg","given":"Jack J"}],"issued":{"date-parts":[["1989"]],"season":"juillet"}},"suppress-author":true}],"schema":"https://github.com/citation-style-language/schema/raw/master/csl-citation.json"} </w:instrText>
      </w:r>
      <w:r w:rsidR="00993A02">
        <w:fldChar w:fldCharType="separate"/>
      </w:r>
      <w:r w:rsidR="00B53448" w:rsidRPr="00B53448">
        <w:rPr>
          <w:rFonts w:ascii="Calibri" w:hAnsi="Calibri"/>
        </w:rPr>
        <w:t>(1989)</w:t>
      </w:r>
      <w:r w:rsidR="00993A02">
        <w:fldChar w:fldCharType="end"/>
      </w:r>
      <w:r w:rsidR="008C4C36">
        <w:t xml:space="preserve"> in the “Middelburg mode”. The age of the sediment was estimated from the sedimentation rate (7.6 m/</w:t>
      </w:r>
      <w:proofErr w:type="spellStart"/>
      <w:r w:rsidR="008C4C36">
        <w:t>yr</w:t>
      </w:r>
      <w:proofErr w:type="spellEnd"/>
      <w:r w:rsidR="008C4C36">
        <w:t xml:space="preserve">). </w:t>
      </w:r>
    </w:p>
    <w:p w14:paraId="06F1B47A" w14:textId="503BB153" w:rsidR="003B09D5" w:rsidRDefault="008C4C36" w:rsidP="003B09D5">
      <w:pPr>
        <w:spacing w:line="360" w:lineRule="auto"/>
        <w:rPr>
          <w:noProof/>
          <w:lang w:val="en-US"/>
        </w:rPr>
      </w:pPr>
      <w:r>
        <w:t>The major uncertainties of this calculation lay within the values assigned for Eq.</w:t>
      </w:r>
      <w:r w:rsidR="00993A02">
        <w:fldChar w:fldCharType="begin"/>
      </w:r>
      <w:r>
        <w:instrText xml:space="preserve"> GOTOBUTTON ZEqnNum929927  \* MERGEFORMAT </w:instrText>
      </w:r>
      <w:r w:rsidR="00993A02">
        <w:fldChar w:fldCharType="begin"/>
      </w:r>
      <w:r w:rsidR="00AE6406">
        <w:instrText xml:space="preserve"> REF ZEqnNum929927 \* Charformat \! \* MERGEFORMAT </w:instrText>
      </w:r>
      <w:r w:rsidR="00993A02">
        <w:fldChar w:fldCharType="separate"/>
      </w:r>
      <w:r w:rsidR="00350BFF">
        <w:instrText>(S2)</w:instrText>
      </w:r>
      <w:r w:rsidR="00993A02">
        <w:fldChar w:fldCharType="end"/>
      </w:r>
      <w:r w:rsidR="00993A02">
        <w:fldChar w:fldCharType="end"/>
      </w:r>
      <w:r>
        <w:t xml:space="preserve"> and the age dependency of </w:t>
      </w:r>
      <w:proofErr w:type="spellStart"/>
      <w:r>
        <w:t>k</w:t>
      </w:r>
      <w:r w:rsidRPr="008C4C36">
        <w:rPr>
          <w:vertAlign w:val="subscript"/>
        </w:rPr>
        <w:t>OSR</w:t>
      </w:r>
      <w:proofErr w:type="spellEnd"/>
      <w:r>
        <w:t xml:space="preserve">. </w:t>
      </w:r>
      <w:r w:rsidR="00B7568D">
        <w:t xml:space="preserve">It is therefore more important to pay attention to the structure of the profiles than the absolute values. </w:t>
      </w:r>
      <w:r w:rsidR="00B864F1">
        <w:t xml:space="preserve">All models </w:t>
      </w:r>
      <w:r w:rsidR="00B7568D">
        <w:t xml:space="preserve">can reproduce the structure of our measured </w:t>
      </w:r>
      <w:r w:rsidR="00B7568D" w:rsidRPr="00B7568D">
        <w:rPr>
          <w:rFonts w:ascii="Symbol" w:hAnsi="Symbol"/>
        </w:rPr>
        <w:t></w:t>
      </w:r>
      <w:r w:rsidR="00B7568D" w:rsidRPr="00B7568D">
        <w:rPr>
          <w:vertAlign w:val="superscript"/>
        </w:rPr>
        <w:t>34</w:t>
      </w:r>
      <w:r w:rsidR="00B7568D">
        <w:t xml:space="preserve">S </w:t>
      </w:r>
      <w:r w:rsidR="00E658EE">
        <w:t>profiles</w:t>
      </w:r>
      <w:r w:rsidR="00B7568D">
        <w:t>.</w:t>
      </w:r>
      <w:r w:rsidR="003B09D5" w:rsidRPr="003B09D5">
        <w:rPr>
          <w:noProof/>
          <w:lang w:val="en-US"/>
        </w:rPr>
        <w:t xml:space="preserve"> </w:t>
      </w:r>
    </w:p>
    <w:p w14:paraId="35B3C8D1" w14:textId="01A565B8" w:rsidR="003B09D5" w:rsidRDefault="003B09D5" w:rsidP="003B09D5">
      <w:pPr>
        <w:spacing w:line="360" w:lineRule="auto"/>
        <w:jc w:val="center"/>
        <w:rPr>
          <w:sz w:val="18"/>
        </w:rPr>
      </w:pPr>
      <w:r>
        <w:rPr>
          <w:noProof/>
          <w:lang w:val="en-US"/>
        </w:rPr>
        <w:lastRenderedPageBreak/>
        <w:drawing>
          <wp:inline distT="0" distB="0" distL="0" distR="0" wp14:anchorId="25DAD2B4" wp14:editId="11AAECAA">
            <wp:extent cx="5326597" cy="2510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8797" cy="2520514"/>
                    </a:xfrm>
                    <a:prstGeom prst="rect">
                      <a:avLst/>
                    </a:prstGeom>
                  </pic:spPr>
                </pic:pic>
              </a:graphicData>
            </a:graphic>
          </wp:inline>
        </w:drawing>
      </w:r>
    </w:p>
    <w:p w14:paraId="4D2BD6C3" w14:textId="47FB9B99" w:rsidR="003B09D5" w:rsidRDefault="003B09D5" w:rsidP="00B864F1">
      <w:pPr>
        <w:spacing w:line="360" w:lineRule="auto"/>
        <w:jc w:val="center"/>
        <w:outlineLvl w:val="0"/>
      </w:pPr>
      <w:r>
        <w:rPr>
          <w:b/>
        </w:rPr>
        <w:t>Fig 3</w:t>
      </w:r>
      <w:r w:rsidRPr="00EC6EEC">
        <w:rPr>
          <w:b/>
        </w:rPr>
        <w:t>.</w:t>
      </w:r>
      <w:r>
        <w:t xml:space="preserve"> </w:t>
      </w:r>
      <w:r w:rsidR="00B864F1">
        <w:t xml:space="preserve">Fractionations applied to </w:t>
      </w:r>
      <w:r w:rsidR="000D5026">
        <w:t>AOM-SR and OSR.</w:t>
      </w:r>
    </w:p>
    <w:p w14:paraId="6C245C88" w14:textId="77777777" w:rsidR="00B7568D" w:rsidRPr="00B25FDE" w:rsidRDefault="00B25FDE" w:rsidP="00A33D24">
      <w:pPr>
        <w:spacing w:line="360" w:lineRule="auto"/>
        <w:jc w:val="both"/>
        <w:rPr>
          <w:b/>
        </w:rPr>
      </w:pPr>
      <w:r>
        <w:rPr>
          <w:b/>
        </w:rPr>
        <w:t xml:space="preserve">2. </w:t>
      </w:r>
      <w:r w:rsidR="00350BFF" w:rsidRPr="00B25FDE">
        <w:rPr>
          <w:b/>
        </w:rPr>
        <w:t>Non-steady state model</w:t>
      </w:r>
    </w:p>
    <w:p w14:paraId="49FEBD0D" w14:textId="1B45CC22" w:rsidR="00D62EA9" w:rsidRPr="00435D25" w:rsidRDefault="00B7568D" w:rsidP="00A33D24">
      <w:pPr>
        <w:spacing w:line="360" w:lineRule="auto"/>
        <w:jc w:val="both"/>
        <w:rPr>
          <w:rFonts w:ascii="Times New Roman" w:eastAsia="Times New Roman" w:hAnsi="Times New Roman"/>
        </w:rPr>
      </w:pPr>
      <w:r w:rsidRPr="00435D25">
        <w:t xml:space="preserve">For our non-steady state model, we coupled </w:t>
      </w:r>
      <w:proofErr w:type="spellStart"/>
      <w:r w:rsidRPr="00435D25">
        <w:t>CrunchFlow</w:t>
      </w:r>
      <w:proofErr w:type="spellEnd"/>
      <w:r w:rsidRPr="00435D25">
        <w:t xml:space="preserve"> </w:t>
      </w:r>
      <w:r w:rsidR="00993A02">
        <w:fldChar w:fldCharType="begin"/>
      </w:r>
      <w:r w:rsidR="00B53448">
        <w:instrText xml:space="preserve"> ADDIN ZOTERO_ITEM CSL_CITATION {"citationID":"2ca61igqrv","properties":{"formattedCitation":"(Steefel, 2009)","plainCitation":"(Steefel, 2009)"},"citationItems":[{"id":1738,"uris":["http://zotero.org/users/1082502/items/5DGG5FBU"],"uri":["http://zotero.org/users/1082502/items/5DGG5FBU"],"itemData":{"id":1738,"type":"article-journal","title":"CrunchFlow","container-title":"Software for Modeling Multicomponent Reactive Flow and Transport. User’s Manual. Lawrence Berkeley National Laboratory, Berkeley, USA","journalAbbreviation":"Software for Modeling Multicomponent Reactive Flow and Transport. User’s Manual. Lawrence Berkeley National Laboratory, Berkeley, USA","author":[{"family":"Steefel","given":"Carl I"}],"issued":{"date-parts":[["2009"]]}}}],"schema":"https://github.com/citation-style-language/schema/raw/master/csl-citation.json"} </w:instrText>
      </w:r>
      <w:r w:rsidR="00993A02">
        <w:fldChar w:fldCharType="separate"/>
      </w:r>
      <w:r w:rsidR="00B53448" w:rsidRPr="00B53448">
        <w:rPr>
          <w:rFonts w:ascii="Calibri" w:hAnsi="Calibri"/>
        </w:rPr>
        <w:t>(</w:t>
      </w:r>
      <w:proofErr w:type="spellStart"/>
      <w:r w:rsidR="00B53448" w:rsidRPr="00B53448">
        <w:rPr>
          <w:rFonts w:ascii="Calibri" w:hAnsi="Calibri"/>
        </w:rPr>
        <w:t>Steefel</w:t>
      </w:r>
      <w:proofErr w:type="spellEnd"/>
      <w:r w:rsidR="00B53448" w:rsidRPr="00B53448">
        <w:rPr>
          <w:rFonts w:ascii="Calibri" w:hAnsi="Calibri"/>
        </w:rPr>
        <w:t>, 2009)</w:t>
      </w:r>
      <w:r w:rsidR="00993A02">
        <w:fldChar w:fldCharType="end"/>
      </w:r>
      <w:r w:rsidRPr="00435D25">
        <w:t xml:space="preserve"> with a </w:t>
      </w:r>
      <w:r w:rsidR="000B464B">
        <w:t>customized</w:t>
      </w:r>
      <w:r w:rsidR="000B464B" w:rsidRPr="00435D25">
        <w:t xml:space="preserve"> </w:t>
      </w:r>
      <w:r w:rsidRPr="00435D25">
        <w:t xml:space="preserve">MATLAB code to simulate reactions, diffusion, and sediment burial. This </w:t>
      </w:r>
      <w:proofErr w:type="spellStart"/>
      <w:r w:rsidRPr="00435D25">
        <w:t>modeling</w:t>
      </w:r>
      <w:proofErr w:type="spellEnd"/>
      <w:r w:rsidRPr="00435D25">
        <w:t xml:space="preserve"> strategy has been successfully applied by</w:t>
      </w:r>
      <w:r w:rsidR="00EA664C">
        <w:t xml:space="preserve"> Hong et al. </w:t>
      </w:r>
      <w:r w:rsidR="00993A02">
        <w:fldChar w:fldCharType="begin"/>
      </w:r>
      <w:r w:rsidR="00B86AFD">
        <w:instrText xml:space="preserve"> ADDIN ZOTERO_ITEM CSL_CITATION {"citationID":"qUu3gBCd","properties":{"formattedCitation":"(2016)","plainCitation":"(2016)"},"citationItems":[{"id":3365,"uris":["http://zotero.org/users/1082502/items/VQJAR9KH"],"uri":["http://zotero.org/users/1082502/items/VQJAR9KH"],"itemData":{"id":3365,"type":"article-journal","title":"Removal of methane through hydrological, microbial, and geochemical processes in the shallow sediments of pockmarks along eastern Vestnesa Ridge (Svalbard)","container-title":"Limnology and Oceanography","page":"n/a-n/a","source":"Wiley Online Library","abstract":"The recent discovery of methane seeps in the Arctic region requires a better understanding of the fate of methane in marine sediments if we are to understand the contributions of methane to Arctic ecosystems and climate change. To this goal, we analyze pore water data from five sites along eastern Vestnesa Ridge, a sediment drift off-north-west Svalbard, to quantify the consumption of dissolved methane across the sulfate-methane-transition-zone which are 3–5 m below seafloor from the investigated sites. We use transport-reaction models to quantify the hydrology as well as the carbon mass balance in the sediments. Pore water profiles and our model results demonstrate that hydrological, microbial, and geochemical processes/reactions efficiently remove methane carbon from fluid over different time scales. We interpret the nonsteady-state behavior of the first 50–70 cm of our pore water profiles from the active sites as an annual scale downward fluid flow due to a seepage-related pressure imbalance. Such downward flow supplies sulfate which enhances methane consumption through anaerobic oxidation of methane (AOM) within this depth range. Our steady-state modeling confirms the efficiency of AOM in consuming dissolved methane in the upper 0.8–1.2 m of sediments. Based on the phosphate profiles, we estimate that AOM at the active pockmarks may have been operating for the last two to four centuries. Precipitation of authigenic carbonate removes more than a quarter of the dissolved inorganic carbon produced by AOM and fixes it as authigenic carbonate in the sediments, a process that sequestrates methane carbon over geological time.","DOI":"10.1002/lno.10299","ISSN":"1939-5590","journalAbbreviation":"Limnol. Oceanogr.","language":"en","author":[{"family":"Hong","given":"Wei-Li"},{"family":"Sauer","given":"Simone"},{"family":"Panieri","given":"Giuliana"},{"family":"Ambrose","given":"William G."},{"family":"James","given":"Rachael H."},{"family":"Plaza-Faverola","given":"Andreia"},{"family":"Schneider","given":"Andrea"}],"issued":{"date-parts":[["2016",5,1]]}},"suppress-author":true}],"schema":"https://github.com/citation-style-language/schema/raw/master/csl-citation.json"} </w:instrText>
      </w:r>
      <w:r w:rsidR="00993A02">
        <w:fldChar w:fldCharType="separate"/>
      </w:r>
      <w:r w:rsidR="00B86AFD" w:rsidRPr="00B86AFD">
        <w:rPr>
          <w:rFonts w:ascii="Calibri" w:hAnsi="Calibri"/>
        </w:rPr>
        <w:t>(2016)</w:t>
      </w:r>
      <w:r w:rsidR="00993A02">
        <w:fldChar w:fldCharType="end"/>
      </w:r>
      <w:r w:rsidR="00EA664C">
        <w:t>.</w:t>
      </w:r>
      <w:r w:rsidRPr="00435D25">
        <w:t xml:space="preserve"> More details were provided in the aforement</w:t>
      </w:r>
      <w:r w:rsidR="003B17FD" w:rsidRPr="00435D25">
        <w:t>ioned paper. In this model, we simulation the fluid evolution for</w:t>
      </w:r>
      <w:r w:rsidRPr="00435D25">
        <w:t xml:space="preserve"> a 20-cm sediment column with 200 grids (</w:t>
      </w:r>
      <w:r w:rsidR="003B17FD" w:rsidRPr="00435D25">
        <w:t>0.1 cm thick for each grid</w:t>
      </w:r>
      <w:r w:rsidRPr="00435D25">
        <w:t>)</w:t>
      </w:r>
      <w:r w:rsidR="003B17FD" w:rsidRPr="00435D25">
        <w:t xml:space="preserve"> over a time course of 25 years. </w:t>
      </w:r>
      <w:proofErr w:type="spellStart"/>
      <w:r w:rsidR="003B17FD" w:rsidRPr="00435D25">
        <w:t>CrunchFlow</w:t>
      </w:r>
      <w:proofErr w:type="spellEnd"/>
      <w:r w:rsidR="003B17FD" w:rsidRPr="00435D25">
        <w:t xml:space="preserve"> evaluated diffusion and reactions for each 2.5-year time slice; our MATLAB code then simulate the burial of both pore fluid and sediments for this 2.5 years. We assumed both liquid and solid phases were buried for a same rate; in other words, </w:t>
      </w:r>
      <w:proofErr w:type="spellStart"/>
      <w:r w:rsidR="003B17FD" w:rsidRPr="00435D25">
        <w:t>compactional</w:t>
      </w:r>
      <w:proofErr w:type="spellEnd"/>
      <w:r w:rsidR="003B17FD" w:rsidRPr="00435D25">
        <w:t xml:space="preserve"> fluid advection is excluded in the current model. We included 8 primary chemical species (</w:t>
      </w:r>
      <w:proofErr w:type="spellStart"/>
      <w:r w:rsidR="003B17FD" w:rsidRPr="00435D25">
        <w:t>sulfate</w:t>
      </w:r>
      <w:proofErr w:type="spellEnd"/>
      <w:r w:rsidR="003B17FD" w:rsidRPr="00435D25">
        <w:t xml:space="preserve">, methane, hydrogen </w:t>
      </w:r>
      <w:proofErr w:type="spellStart"/>
      <w:r w:rsidR="003B17FD" w:rsidRPr="00435D25">
        <w:t>sulfide</w:t>
      </w:r>
      <w:proofErr w:type="spellEnd"/>
      <w:r w:rsidR="003B17FD" w:rsidRPr="00435D25">
        <w:t>, ammonium, phosphate, chloride, bicarbonate, and sodium) and another 8 secondary chemical species (CO</w:t>
      </w:r>
      <w:r w:rsidR="003B17FD" w:rsidRPr="00435D25">
        <w:rPr>
          <w:vertAlign w:val="subscript"/>
        </w:rPr>
        <w:t>2</w:t>
      </w:r>
      <w:r w:rsidR="003B17FD" w:rsidRPr="00435D25">
        <w:t>, CO</w:t>
      </w:r>
      <w:r w:rsidR="003B17FD" w:rsidRPr="00435D25">
        <w:rPr>
          <w:vertAlign w:val="subscript"/>
        </w:rPr>
        <w:t>3</w:t>
      </w:r>
      <w:r w:rsidR="003B17FD" w:rsidRPr="00435D25">
        <w:rPr>
          <w:vertAlign w:val="superscript"/>
        </w:rPr>
        <w:t>2-</w:t>
      </w:r>
      <w:r w:rsidR="003B17FD" w:rsidRPr="00435D25">
        <w:t>, H</w:t>
      </w:r>
      <w:r w:rsidR="003B17FD" w:rsidRPr="00435D25">
        <w:rPr>
          <w:vertAlign w:val="subscript"/>
        </w:rPr>
        <w:t>3</w:t>
      </w:r>
      <w:r w:rsidR="003B17FD" w:rsidRPr="00435D25">
        <w:t>PO</w:t>
      </w:r>
      <w:r w:rsidR="003B17FD" w:rsidRPr="00435D25">
        <w:rPr>
          <w:vertAlign w:val="subscript"/>
        </w:rPr>
        <w:t>4</w:t>
      </w:r>
      <w:r w:rsidR="003B17FD" w:rsidRPr="00435D25">
        <w:t>, H</w:t>
      </w:r>
      <w:r w:rsidR="003B17FD" w:rsidRPr="00435D25">
        <w:rPr>
          <w:vertAlign w:val="subscript"/>
        </w:rPr>
        <w:t>2</w:t>
      </w:r>
      <w:r w:rsidR="003B17FD" w:rsidRPr="00435D25">
        <w:t>PO</w:t>
      </w:r>
      <w:r w:rsidR="003B17FD" w:rsidRPr="00435D25">
        <w:rPr>
          <w:vertAlign w:val="subscript"/>
        </w:rPr>
        <w:t>4</w:t>
      </w:r>
      <w:proofErr w:type="gramStart"/>
      <w:r w:rsidR="003B17FD" w:rsidRPr="00435D25">
        <w:rPr>
          <w:vertAlign w:val="superscript"/>
        </w:rPr>
        <w:t>-</w:t>
      </w:r>
      <w:r w:rsidR="003B17FD" w:rsidRPr="00435D25">
        <w:t>,PO</w:t>
      </w:r>
      <w:proofErr w:type="gramEnd"/>
      <w:r w:rsidR="003B17FD" w:rsidRPr="00435D25">
        <w:rPr>
          <w:vertAlign w:val="subscript"/>
        </w:rPr>
        <w:t>4</w:t>
      </w:r>
      <w:r w:rsidR="003B17FD" w:rsidRPr="00435D25">
        <w:rPr>
          <w:vertAlign w:val="superscript"/>
        </w:rPr>
        <w:t>3-</w:t>
      </w:r>
      <w:r w:rsidR="003B17FD" w:rsidRPr="00435D25">
        <w:t>, H</w:t>
      </w:r>
      <w:r w:rsidR="003B17FD" w:rsidRPr="00435D25">
        <w:rPr>
          <w:vertAlign w:val="subscript"/>
        </w:rPr>
        <w:t>2</w:t>
      </w:r>
      <w:r w:rsidR="003B17FD" w:rsidRPr="00435D25">
        <w:t>S, and S</w:t>
      </w:r>
      <w:r w:rsidR="003B17FD" w:rsidRPr="00435D25">
        <w:rPr>
          <w:vertAlign w:val="superscript"/>
        </w:rPr>
        <w:t>2-</w:t>
      </w:r>
      <w:r w:rsidR="003B17FD" w:rsidRPr="00435D25">
        <w:t>)</w:t>
      </w:r>
      <w:r w:rsidR="00D62EA9" w:rsidRPr="00435D25">
        <w:t xml:space="preserve"> to account for effects from ionic strength, charge balance, and pH in the pore fluid. See</w:t>
      </w:r>
      <w:r w:rsidR="00435D25" w:rsidRPr="00435D25">
        <w:t xml:space="preserve"> Hong et al. </w:t>
      </w:r>
      <w:r w:rsidR="00993A02" w:rsidRPr="00435D25">
        <w:fldChar w:fldCharType="begin"/>
      </w:r>
      <w:r w:rsidR="00435D25" w:rsidRPr="00435D25">
        <w:instrText xml:space="preserve"> ADDIN ZOTERO_ITEM CSL_CITATION {"citationID":"4Qfz6hhe","properties":{"formattedCitation":"(2014)","plainCitation":"(2014)"},"citationItems":[{"id":193,"uris":["http://zotero.org/users/1082502/items/7RE45TH6"],"uri":["http://zotero.org/users/1082502/items/7RE45TH6"],"itemData":{"id":193,"type":"article-journal","title":"Towards quantifying the reaction network around the sulfate–methane-transition-zone in the Ulleung Basin, East Sea, with a kinetic modeling approach","container-title":"Geochimica et Cosmochimica Acta","page":"127-141","volume":"140","source":"CrossRef","DOI":"10.1016/j.gca.2014.05.032","ISSN":"00167037","language":"en","author":[{"family":"Hong","given":"Wei-Li"},{"family":"Torres","given":"Marta E."},{"family":"Kim","given":"Ji-Hoon"},{"family":"Choi","given":"Jiyoung"},{"family":"Bahk","given":"Jang-Jun"}],"issued":{"date-parts":[["2014",9]]}},"suppress-author":true}],"schema":"https://github.com/citation-style-language/schema/raw/master/csl-citation.json"} </w:instrText>
      </w:r>
      <w:r w:rsidR="00993A02" w:rsidRPr="00435D25">
        <w:fldChar w:fldCharType="separate"/>
      </w:r>
      <w:r w:rsidR="00435D25" w:rsidRPr="00435D25">
        <w:rPr>
          <w:rFonts w:ascii="Calibri" w:hAnsi="Calibri"/>
        </w:rPr>
        <w:t>(2014)</w:t>
      </w:r>
      <w:r w:rsidR="00993A02" w:rsidRPr="00435D25">
        <w:fldChar w:fldCharType="end"/>
      </w:r>
      <w:r w:rsidR="00D62EA9" w:rsidRPr="00435D25">
        <w:t xml:space="preserve"> for the detail reactions of the secondary species. The secondary species responses not only to the primary reactions we assigned (</w:t>
      </w:r>
      <w:r w:rsidR="00B864F1">
        <w:t>AOM-SR</w:t>
      </w:r>
      <w:r w:rsidR="00D62EA9" w:rsidRPr="00435D25">
        <w:t xml:space="preserve"> and OSR in this case) but also any redistribution of primary species due to diffusion and burial. OSR was formulated </w:t>
      </w:r>
      <w:r w:rsidR="00D62EA9" w:rsidRPr="00435D25">
        <w:rPr>
          <w:rFonts w:eastAsia="Times New Roman"/>
        </w:rPr>
        <w:t xml:space="preserve">as </w:t>
      </w:r>
      <w:r w:rsidR="00D62EA9" w:rsidRPr="00435D25">
        <w:rPr>
          <w:rFonts w:eastAsia="Times New Roman"/>
          <w:i/>
        </w:rPr>
        <w:t>Monod-type</w:t>
      </w:r>
      <w:r w:rsidR="00D62EA9" w:rsidRPr="00435D25">
        <w:rPr>
          <w:rFonts w:eastAsia="Times New Roman"/>
        </w:rPr>
        <w:t xml:space="preserve"> rate expression with one </w:t>
      </w:r>
      <w:r w:rsidR="00D62EA9" w:rsidRPr="00435D25">
        <w:rPr>
          <w:rFonts w:eastAsia="Times New Roman"/>
          <w:i/>
        </w:rPr>
        <w:t>Monod</w:t>
      </w:r>
      <w:r w:rsidR="00D62EA9" w:rsidRPr="00435D25">
        <w:rPr>
          <w:rFonts w:eastAsia="Times New Roman"/>
        </w:rPr>
        <w:t xml:space="preserve"> term:</w:t>
      </w:r>
    </w:p>
    <w:p w14:paraId="4CA76813" w14:textId="77777777" w:rsidR="00D62EA9" w:rsidRPr="00143C0C" w:rsidRDefault="00350BFF" w:rsidP="00FF0046">
      <w:pPr>
        <w:spacing w:line="360" w:lineRule="auto"/>
        <w:jc w:val="center"/>
        <w:rPr>
          <w:rFonts w:ascii="Times New Roman" w:eastAsia="Times New Roman" w:hAnsi="Times New Roman"/>
          <w:sz w:val="24"/>
          <w:szCs w:val="24"/>
        </w:rPr>
      </w:pPr>
      <w:r w:rsidRPr="00143C0C">
        <w:rPr>
          <w:rFonts w:ascii="Times New Roman" w:hAnsi="Times New Roman"/>
          <w:position w:val="-32"/>
          <w:sz w:val="24"/>
          <w:szCs w:val="24"/>
        </w:rPr>
        <w:object w:dxaOrig="3760" w:dyaOrig="700" w14:anchorId="74C0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34.9pt" o:ole="">
            <v:imagedata r:id="rId7" o:title=""/>
          </v:shape>
          <o:OLEObject Type="Embed" ProgID="Equation.DSMT4" ShapeID="_x0000_i1025" DrawAspect="Content" ObjectID="_1547283508" r:id="rId8"/>
        </w:object>
      </w:r>
      <w:r w:rsidR="00D62EA9" w:rsidRPr="00143C0C">
        <w:rPr>
          <w:rFonts w:ascii="Times New Roman" w:eastAsia="Times New Roman" w:hAnsi="Times New Roman"/>
          <w:sz w:val="24"/>
          <w:szCs w:val="24"/>
        </w:rPr>
        <w:t xml:space="preserve">     </w:t>
      </w:r>
      <w:r w:rsidR="00993A02">
        <w:rPr>
          <w:rFonts w:ascii="Times New Roman" w:eastAsia="Times New Roman" w:hAnsi="Times New Roman"/>
          <w:sz w:val="24"/>
          <w:szCs w:val="24"/>
        </w:rPr>
        <w:fldChar w:fldCharType="begin"/>
      </w:r>
      <w:r w:rsidR="00D62EA9">
        <w:rPr>
          <w:rFonts w:ascii="Times New Roman" w:eastAsia="Times New Roman" w:hAnsi="Times New Roman"/>
          <w:sz w:val="24"/>
          <w:szCs w:val="24"/>
        </w:rPr>
        <w:instrText xml:space="preserve"> MACROBUTTON MTPlaceRef \* MERGEFORMAT </w:instrText>
      </w:r>
      <w:r w:rsidR="00993A02">
        <w:rPr>
          <w:rFonts w:ascii="Times New Roman" w:eastAsia="Times New Roman" w:hAnsi="Times New Roman"/>
          <w:sz w:val="24"/>
          <w:szCs w:val="24"/>
        </w:rPr>
        <w:fldChar w:fldCharType="begin"/>
      </w:r>
      <w:r w:rsidR="00D62EA9">
        <w:rPr>
          <w:rFonts w:ascii="Times New Roman" w:eastAsia="Times New Roman" w:hAnsi="Times New Roman"/>
          <w:sz w:val="24"/>
          <w:szCs w:val="24"/>
        </w:rPr>
        <w:instrText xml:space="preserve"> SEQ MTEqn \h \* MERGEFORMAT </w:instrText>
      </w:r>
      <w:r w:rsidR="00993A02">
        <w:rPr>
          <w:rFonts w:ascii="Times New Roman" w:eastAsia="Times New Roman" w:hAnsi="Times New Roman"/>
          <w:sz w:val="24"/>
          <w:szCs w:val="24"/>
        </w:rPr>
        <w:fldChar w:fldCharType="end"/>
      </w:r>
      <w:r w:rsidR="00D62EA9">
        <w:rPr>
          <w:rFonts w:ascii="Times New Roman" w:eastAsia="Times New Roman" w:hAnsi="Times New Roman"/>
          <w:sz w:val="24"/>
          <w:szCs w:val="24"/>
        </w:rPr>
        <w:instrText>(S</w:instrText>
      </w:r>
      <w:r w:rsidR="00CB65F1">
        <w:fldChar w:fldCharType="begin"/>
      </w:r>
      <w:r w:rsidR="00CB65F1">
        <w:instrText xml:space="preserve"> SEQ MTEqn \c \* Arabic \* MERGEFORMAT </w:instrText>
      </w:r>
      <w:r w:rsidR="00CB65F1">
        <w:fldChar w:fldCharType="separate"/>
      </w:r>
      <w:r>
        <w:rPr>
          <w:rFonts w:ascii="Times New Roman" w:eastAsia="Times New Roman" w:hAnsi="Times New Roman"/>
          <w:noProof/>
          <w:sz w:val="24"/>
          <w:szCs w:val="24"/>
        </w:rPr>
        <w:instrText>5</w:instrText>
      </w:r>
      <w:r w:rsidR="00CB65F1">
        <w:rPr>
          <w:rFonts w:ascii="Times New Roman" w:eastAsia="Times New Roman" w:hAnsi="Times New Roman"/>
          <w:noProof/>
          <w:sz w:val="24"/>
          <w:szCs w:val="24"/>
        </w:rPr>
        <w:fldChar w:fldCharType="end"/>
      </w:r>
      <w:r w:rsidR="00D62EA9">
        <w:rPr>
          <w:rFonts w:ascii="Times New Roman" w:eastAsia="Times New Roman" w:hAnsi="Times New Roman"/>
          <w:sz w:val="24"/>
          <w:szCs w:val="24"/>
        </w:rPr>
        <w:instrText>)</w:instrText>
      </w:r>
      <w:r w:rsidR="00993A02">
        <w:rPr>
          <w:rFonts w:ascii="Times New Roman" w:eastAsia="Times New Roman" w:hAnsi="Times New Roman"/>
          <w:sz w:val="24"/>
          <w:szCs w:val="24"/>
        </w:rPr>
        <w:fldChar w:fldCharType="end"/>
      </w:r>
    </w:p>
    <w:p w14:paraId="4D507E43" w14:textId="77777777" w:rsidR="00D62EA9" w:rsidRPr="00143C0C" w:rsidRDefault="00350BFF" w:rsidP="00FF0046">
      <w:pPr>
        <w:spacing w:line="360" w:lineRule="auto"/>
        <w:jc w:val="center"/>
        <w:rPr>
          <w:rFonts w:ascii="Times New Roman" w:eastAsia="Times New Roman" w:hAnsi="Times New Roman"/>
          <w:sz w:val="24"/>
          <w:szCs w:val="24"/>
        </w:rPr>
      </w:pPr>
      <w:r w:rsidRPr="00143C0C">
        <w:rPr>
          <w:rFonts w:ascii="Times New Roman" w:hAnsi="Times New Roman"/>
          <w:position w:val="-34"/>
          <w:sz w:val="24"/>
          <w:szCs w:val="24"/>
        </w:rPr>
        <w:object w:dxaOrig="2380" w:dyaOrig="800" w14:anchorId="10CD5741">
          <v:shape id="_x0000_i1026" type="#_x0000_t75" style="width:119.45pt;height:40.9pt" o:ole="">
            <v:imagedata r:id="rId9" o:title=""/>
          </v:shape>
          <o:OLEObject Type="Embed" ProgID="Equation.DSMT4" ShapeID="_x0000_i1026" DrawAspect="Content" ObjectID="_1547283509" r:id="rId10"/>
        </w:object>
      </w:r>
      <w:r w:rsidR="00D62EA9" w:rsidRPr="00143C0C">
        <w:rPr>
          <w:rFonts w:ascii="Times New Roman" w:eastAsia="Times New Roman" w:hAnsi="Times New Roman"/>
          <w:sz w:val="24"/>
          <w:szCs w:val="24"/>
        </w:rPr>
        <w:t xml:space="preserve">   </w:t>
      </w:r>
      <w:r w:rsidR="00993A02">
        <w:rPr>
          <w:rFonts w:ascii="Times New Roman" w:eastAsia="Times New Roman" w:hAnsi="Times New Roman"/>
          <w:sz w:val="24"/>
          <w:szCs w:val="24"/>
        </w:rPr>
        <w:fldChar w:fldCharType="begin"/>
      </w:r>
      <w:r w:rsidR="00D62EA9">
        <w:rPr>
          <w:rFonts w:ascii="Times New Roman" w:eastAsia="Times New Roman" w:hAnsi="Times New Roman"/>
          <w:sz w:val="24"/>
          <w:szCs w:val="24"/>
        </w:rPr>
        <w:instrText xml:space="preserve"> MACROBUTTON MTPlaceRef \* MERGEFORMAT </w:instrText>
      </w:r>
      <w:r w:rsidR="00993A02">
        <w:rPr>
          <w:rFonts w:ascii="Times New Roman" w:eastAsia="Times New Roman" w:hAnsi="Times New Roman"/>
          <w:sz w:val="24"/>
          <w:szCs w:val="24"/>
        </w:rPr>
        <w:fldChar w:fldCharType="begin"/>
      </w:r>
      <w:r w:rsidR="00D62EA9">
        <w:rPr>
          <w:rFonts w:ascii="Times New Roman" w:eastAsia="Times New Roman" w:hAnsi="Times New Roman"/>
          <w:sz w:val="24"/>
          <w:szCs w:val="24"/>
        </w:rPr>
        <w:instrText xml:space="preserve"> SEQ MTEqn \h \* MERGEFORMAT </w:instrText>
      </w:r>
      <w:r w:rsidR="00993A02">
        <w:rPr>
          <w:rFonts w:ascii="Times New Roman" w:eastAsia="Times New Roman" w:hAnsi="Times New Roman"/>
          <w:sz w:val="24"/>
          <w:szCs w:val="24"/>
        </w:rPr>
        <w:fldChar w:fldCharType="end"/>
      </w:r>
      <w:r w:rsidR="00D62EA9">
        <w:rPr>
          <w:rFonts w:ascii="Times New Roman" w:eastAsia="Times New Roman" w:hAnsi="Times New Roman"/>
          <w:sz w:val="24"/>
          <w:szCs w:val="24"/>
        </w:rPr>
        <w:instrText>(S</w:instrText>
      </w:r>
      <w:r w:rsidR="00CB65F1">
        <w:fldChar w:fldCharType="begin"/>
      </w:r>
      <w:r w:rsidR="00CB65F1">
        <w:instrText xml:space="preserve"> SEQ MTEqn \c \* Arabic \* MERGEFORMAT </w:instrText>
      </w:r>
      <w:r w:rsidR="00CB65F1">
        <w:fldChar w:fldCharType="separate"/>
      </w:r>
      <w:r>
        <w:rPr>
          <w:rFonts w:ascii="Times New Roman" w:eastAsia="Times New Roman" w:hAnsi="Times New Roman"/>
          <w:noProof/>
          <w:sz w:val="24"/>
          <w:szCs w:val="24"/>
        </w:rPr>
        <w:instrText>6</w:instrText>
      </w:r>
      <w:r w:rsidR="00CB65F1">
        <w:rPr>
          <w:rFonts w:ascii="Times New Roman" w:eastAsia="Times New Roman" w:hAnsi="Times New Roman"/>
          <w:noProof/>
          <w:sz w:val="24"/>
          <w:szCs w:val="24"/>
        </w:rPr>
        <w:fldChar w:fldCharType="end"/>
      </w:r>
      <w:r w:rsidR="00D62EA9">
        <w:rPr>
          <w:rFonts w:ascii="Times New Roman" w:eastAsia="Times New Roman" w:hAnsi="Times New Roman"/>
          <w:sz w:val="24"/>
          <w:szCs w:val="24"/>
        </w:rPr>
        <w:instrText>)</w:instrText>
      </w:r>
      <w:r w:rsidR="00993A02">
        <w:rPr>
          <w:rFonts w:ascii="Times New Roman" w:eastAsia="Times New Roman" w:hAnsi="Times New Roman"/>
          <w:sz w:val="24"/>
          <w:szCs w:val="24"/>
        </w:rPr>
        <w:fldChar w:fldCharType="end"/>
      </w:r>
    </w:p>
    <w:p w14:paraId="2408B69E" w14:textId="77777777" w:rsidR="00D62EA9" w:rsidRDefault="00D62EA9" w:rsidP="00A33D24">
      <w:pPr>
        <w:spacing w:line="360" w:lineRule="auto"/>
        <w:jc w:val="both"/>
        <w:rPr>
          <w:rFonts w:eastAsia="Times New Roman"/>
        </w:rPr>
      </w:pPr>
      <w:r w:rsidRPr="00435D25">
        <w:rPr>
          <w:rFonts w:eastAsia="Times New Roman"/>
        </w:rPr>
        <w:lastRenderedPageBreak/>
        <w:t xml:space="preserve">where </w:t>
      </w:r>
      <w:r w:rsidRPr="00435D25">
        <w:rPr>
          <w:rFonts w:eastAsia="Times New Roman"/>
          <w:i/>
        </w:rPr>
        <w:t>A</w:t>
      </w:r>
      <w:r w:rsidRPr="00435D25">
        <w:rPr>
          <w:rFonts w:eastAsia="Times New Roman"/>
          <w:i/>
          <w:vertAlign w:val="subscript"/>
        </w:rPr>
        <w:t>m</w:t>
      </w:r>
      <w:r w:rsidRPr="00435D25">
        <w:rPr>
          <w:rFonts w:eastAsia="Times New Roman"/>
        </w:rPr>
        <w:t xml:space="preserve"> (=1) and </w:t>
      </w:r>
      <w:r w:rsidRPr="00435D25">
        <w:rPr>
          <w:rFonts w:eastAsia="Times New Roman"/>
          <w:i/>
        </w:rPr>
        <w:t>k</w:t>
      </w:r>
      <w:r w:rsidRPr="00435D25">
        <w:rPr>
          <w:rFonts w:eastAsia="Times New Roman"/>
          <w:i/>
          <w:vertAlign w:val="subscript"/>
        </w:rPr>
        <w:t>m</w:t>
      </w:r>
      <w:r w:rsidRPr="00435D25">
        <w:rPr>
          <w:rFonts w:eastAsia="Times New Roman"/>
        </w:rPr>
        <w:t xml:space="preserve"> are the surface area and kinetic constant. </w:t>
      </w:r>
      <w:r w:rsidRPr="00435D25">
        <w:rPr>
          <w:rFonts w:eastAsia="Times New Roman"/>
          <w:i/>
        </w:rPr>
        <w:t>Ea</w:t>
      </w:r>
      <w:r w:rsidRPr="00435D25">
        <w:rPr>
          <w:rFonts w:eastAsia="Times New Roman"/>
        </w:rPr>
        <w:t xml:space="preserve">, </w:t>
      </w:r>
      <w:r w:rsidRPr="00435D25">
        <w:rPr>
          <w:rFonts w:eastAsia="Times New Roman"/>
          <w:i/>
        </w:rPr>
        <w:t>R</w:t>
      </w:r>
      <w:r w:rsidRPr="00435D25">
        <w:rPr>
          <w:rFonts w:eastAsia="Times New Roman"/>
        </w:rPr>
        <w:t xml:space="preserve">, and </w:t>
      </w:r>
      <w:r w:rsidRPr="00435D25">
        <w:rPr>
          <w:rFonts w:eastAsia="Times New Roman"/>
          <w:i/>
        </w:rPr>
        <w:t>T</w:t>
      </w:r>
      <w:r w:rsidRPr="00435D25">
        <w:rPr>
          <w:rFonts w:eastAsia="Times New Roman"/>
        </w:rPr>
        <w:t xml:space="preserve"> are the activation energy, ideal gas constant, and temperature. </w:t>
      </w:r>
      <w:r w:rsidRPr="00936A70">
        <w:rPr>
          <w:rFonts w:ascii="Symbol" w:eastAsia="Times New Roman" w:hAnsi="Symbol"/>
        </w:rPr>
        <w:t></w:t>
      </w:r>
      <w:r w:rsidRPr="00435D25">
        <w:rPr>
          <w:rFonts w:eastAsia="Times New Roman"/>
          <w:i/>
        </w:rPr>
        <w:t>a</w:t>
      </w:r>
      <w:r w:rsidRPr="00435D25">
        <w:rPr>
          <w:rFonts w:eastAsia="Times New Roman"/>
          <w:i/>
          <w:vertAlign w:val="subscript"/>
        </w:rPr>
        <w:t>i</w:t>
      </w:r>
      <w:r w:rsidRPr="00435D25">
        <w:rPr>
          <w:rFonts w:eastAsia="Times New Roman"/>
          <w:i/>
          <w:vertAlign w:val="superscript"/>
        </w:rPr>
        <w:t>n</w:t>
      </w:r>
      <w:r w:rsidRPr="00435D25">
        <w:rPr>
          <w:rFonts w:eastAsia="Times New Roman"/>
        </w:rPr>
        <w:t xml:space="preserve"> is the activity product of solutes in the reaction with their stoichiometry (</w:t>
      </w:r>
      <w:r w:rsidRPr="00435D25">
        <w:rPr>
          <w:rFonts w:eastAsia="Times New Roman"/>
          <w:i/>
        </w:rPr>
        <w:t>n</w:t>
      </w:r>
      <w:r w:rsidRPr="00435D25">
        <w:rPr>
          <w:rFonts w:eastAsia="Times New Roman"/>
        </w:rPr>
        <w:t xml:space="preserve">) as exponents. </w:t>
      </w:r>
      <w:r w:rsidRPr="00435D25">
        <w:rPr>
          <w:position w:val="-32"/>
        </w:rPr>
        <w:object w:dxaOrig="460" w:dyaOrig="700" w14:anchorId="30990473">
          <v:shape id="_x0000_i1027" type="#_x0000_t75" style="width:23.45pt;height:34.9pt" o:ole="">
            <v:imagedata r:id="rId11" o:title=""/>
          </v:shape>
          <o:OLEObject Type="Embed" ProgID="Equation.DSMT4" ShapeID="_x0000_i1027" DrawAspect="Content" ObjectID="_1547283510" r:id="rId12"/>
        </w:object>
      </w:r>
      <w:r w:rsidRPr="00435D25">
        <w:rPr>
          <w:rFonts w:eastAsia="Times New Roman"/>
        </w:rPr>
        <w:t xml:space="preserve"> determines the direction of reaction where </w:t>
      </w:r>
      <w:r w:rsidRPr="00435D25">
        <w:rPr>
          <w:rFonts w:eastAsia="Times New Roman"/>
          <w:i/>
        </w:rPr>
        <w:t>Q</w:t>
      </w:r>
      <w:r w:rsidRPr="00435D25">
        <w:rPr>
          <w:rFonts w:eastAsia="Times New Roman"/>
        </w:rPr>
        <w:t xml:space="preserve"> is the ion activity product and </w:t>
      </w:r>
      <w:proofErr w:type="spellStart"/>
      <w:r w:rsidRPr="00435D25">
        <w:rPr>
          <w:rFonts w:eastAsia="Times New Roman"/>
          <w:i/>
        </w:rPr>
        <w:t>K</w:t>
      </w:r>
      <w:r w:rsidRPr="00435D25">
        <w:rPr>
          <w:rFonts w:eastAsia="Times New Roman"/>
          <w:i/>
          <w:vertAlign w:val="subscript"/>
        </w:rPr>
        <w:t>eq</w:t>
      </w:r>
      <w:proofErr w:type="spellEnd"/>
      <w:r w:rsidRPr="00435D25">
        <w:rPr>
          <w:rFonts w:eastAsia="Times New Roman"/>
        </w:rPr>
        <w:t xml:space="preserve"> is the equilibrium constant. As </w:t>
      </w:r>
      <w:r w:rsidR="00350BFF" w:rsidRPr="00435D25">
        <w:rPr>
          <w:rFonts w:eastAsia="Times New Roman"/>
        </w:rPr>
        <w:t>OSR</w:t>
      </w:r>
      <w:r w:rsidRPr="00435D25">
        <w:rPr>
          <w:rFonts w:eastAsia="Times New Roman"/>
        </w:rPr>
        <w:t xml:space="preserve"> is a kinetic-driven reaction, we arbitrarily assigned a </w:t>
      </w:r>
      <w:r w:rsidRPr="00435D25">
        <w:rPr>
          <w:rFonts w:eastAsia="Times New Roman"/>
          <w:i/>
        </w:rPr>
        <w:t>K</w:t>
      </w:r>
      <w:r w:rsidRPr="00435D25">
        <w:rPr>
          <w:rFonts w:eastAsia="Times New Roman"/>
          <w:i/>
          <w:vertAlign w:val="subscript"/>
        </w:rPr>
        <w:t>eq</w:t>
      </w:r>
      <w:r w:rsidRPr="00435D25">
        <w:rPr>
          <w:rFonts w:eastAsia="Times New Roman"/>
        </w:rPr>
        <w:t xml:space="preserve"> to ensure the reaction always in a forward direction. </w:t>
      </w:r>
      <w:r w:rsidRPr="00435D25">
        <w:rPr>
          <w:rFonts w:eastAsia="Times New Roman"/>
          <w:i/>
          <w:position w:val="-12"/>
        </w:rPr>
        <w:object w:dxaOrig="660" w:dyaOrig="380" w14:anchorId="794C6D37">
          <v:shape id="_x0000_i1028" type="#_x0000_t75" style="width:32.2pt;height:18.55pt" o:ole="">
            <v:imagedata r:id="rId13" o:title=""/>
          </v:shape>
          <o:OLEObject Type="Embed" ProgID="Equation.DSMT4" ShapeID="_x0000_i1028" DrawAspect="Content" ObjectID="_1547283511" r:id="rId14"/>
        </w:object>
      </w:r>
      <w:r w:rsidRPr="00435D25">
        <w:rPr>
          <w:rFonts w:eastAsia="Times New Roman"/>
        </w:rPr>
        <w:t>is the theoretical maximum rate that was assigned based on our assumption of organic matter reactivity (</w:t>
      </w:r>
      <w:r w:rsidR="00350BFF" w:rsidRPr="00435D25">
        <w:rPr>
          <w:rFonts w:eastAsia="Times New Roman"/>
        </w:rPr>
        <w:t>Table S2</w:t>
      </w:r>
      <w:r w:rsidRPr="00435D25">
        <w:rPr>
          <w:rFonts w:eastAsia="Times New Roman"/>
        </w:rPr>
        <w:t xml:space="preserve">). </w:t>
      </w:r>
      <w:r w:rsidRPr="00435D25">
        <w:rPr>
          <w:rFonts w:eastAsia="Times New Roman"/>
          <w:i/>
        </w:rPr>
        <w:t>K</w:t>
      </w:r>
      <w:r w:rsidRPr="00435D25">
        <w:rPr>
          <w:rFonts w:eastAsia="Times New Roman"/>
          <w:i/>
          <w:vertAlign w:val="subscript"/>
        </w:rPr>
        <w:t>half</w:t>
      </w:r>
      <w:r w:rsidRPr="00435D25">
        <w:rPr>
          <w:rFonts w:eastAsia="Times New Roman"/>
        </w:rPr>
        <w:t xml:space="preserve"> is the half saturation constant (=100 </w:t>
      </w:r>
      <w:r w:rsidR="00245476" w:rsidRPr="00435D25">
        <w:rPr>
          <w:rFonts w:eastAsia="Times New Roman"/>
        </w:rPr>
        <w:t>µ</w:t>
      </w:r>
      <w:r w:rsidRPr="00435D25">
        <w:rPr>
          <w:rFonts w:eastAsia="Times New Roman"/>
        </w:rPr>
        <w:t xml:space="preserve">M; Wegener and Boetius, 2009), and </w:t>
      </w:r>
      <w:r w:rsidRPr="00435D25">
        <w:rPr>
          <w:rFonts w:eastAsia="Times New Roman"/>
          <w:i/>
        </w:rPr>
        <w:t>C</w:t>
      </w:r>
      <w:r w:rsidRPr="00435D25">
        <w:rPr>
          <w:rFonts w:eastAsia="Times New Roman"/>
          <w:i/>
          <w:vertAlign w:val="subscript"/>
        </w:rPr>
        <w:t>SO4</w:t>
      </w:r>
      <w:r w:rsidRPr="00435D25">
        <w:rPr>
          <w:rFonts w:eastAsia="Times New Roman"/>
        </w:rPr>
        <w:t xml:space="preserve"> is the concentration of sulfate.</w:t>
      </w:r>
    </w:p>
    <w:p w14:paraId="6640CAD7" w14:textId="77777777" w:rsidR="00FF0046" w:rsidRPr="00435D25" w:rsidRDefault="00FF0046" w:rsidP="00A33D24">
      <w:pPr>
        <w:spacing w:line="360" w:lineRule="auto"/>
        <w:jc w:val="both"/>
        <w:rPr>
          <w:rFonts w:eastAsia="Times New Roman"/>
        </w:rPr>
      </w:pPr>
    </w:p>
    <w:p w14:paraId="5EB2803B" w14:textId="7DE151F6" w:rsidR="00D62EA9" w:rsidRPr="00435D25" w:rsidRDefault="00B864F1" w:rsidP="00A33D24">
      <w:pPr>
        <w:spacing w:line="360" w:lineRule="auto"/>
        <w:jc w:val="both"/>
        <w:rPr>
          <w:rFonts w:eastAsia="Times New Roman"/>
        </w:rPr>
      </w:pPr>
      <w:r>
        <w:rPr>
          <w:rFonts w:eastAsia="Times New Roman"/>
        </w:rPr>
        <w:t>AOM-SR</w:t>
      </w:r>
      <w:r w:rsidR="00D62EA9" w:rsidRPr="00435D25">
        <w:rPr>
          <w:rFonts w:eastAsia="Times New Roman"/>
        </w:rPr>
        <w:t xml:space="preserve"> was formulated as </w:t>
      </w:r>
      <w:r w:rsidR="00D62EA9" w:rsidRPr="00435D25">
        <w:rPr>
          <w:rFonts w:eastAsia="Times New Roman"/>
          <w:i/>
        </w:rPr>
        <w:t>Monod-type</w:t>
      </w:r>
      <w:r w:rsidR="00D62EA9" w:rsidRPr="00435D25">
        <w:rPr>
          <w:rFonts w:eastAsia="Times New Roman"/>
        </w:rPr>
        <w:t xml:space="preserve"> reactions with two </w:t>
      </w:r>
      <w:r w:rsidR="00D62EA9" w:rsidRPr="00435D25">
        <w:rPr>
          <w:rFonts w:eastAsia="Times New Roman"/>
          <w:i/>
        </w:rPr>
        <w:t>Monod</w:t>
      </w:r>
      <w:r w:rsidR="00D62EA9" w:rsidRPr="00435D25">
        <w:rPr>
          <w:rFonts w:eastAsia="Times New Roman"/>
        </w:rPr>
        <w:t xml:space="preserve"> terms:</w:t>
      </w:r>
    </w:p>
    <w:p w14:paraId="00EE4761" w14:textId="77777777" w:rsidR="00D62EA9" w:rsidRPr="00DB1615" w:rsidRDefault="00350BFF" w:rsidP="00FF0046">
      <w:pPr>
        <w:spacing w:line="360" w:lineRule="auto"/>
        <w:jc w:val="center"/>
        <w:rPr>
          <w:rFonts w:ascii="Times New Roman" w:eastAsia="Times New Roman" w:hAnsi="Times New Roman"/>
          <w:sz w:val="24"/>
          <w:szCs w:val="24"/>
        </w:rPr>
      </w:pPr>
      <w:r w:rsidRPr="00350BFF">
        <w:rPr>
          <w:rFonts w:ascii="Times New Roman" w:hAnsi="Times New Roman"/>
          <w:position w:val="-36"/>
          <w:sz w:val="24"/>
          <w:szCs w:val="24"/>
        </w:rPr>
        <w:object w:dxaOrig="5720" w:dyaOrig="840" w14:anchorId="0406D517">
          <v:shape id="_x0000_i1029" type="#_x0000_t75" style="width:264pt;height:39.8pt" o:ole="">
            <v:imagedata r:id="rId15" o:title=""/>
          </v:shape>
          <o:OLEObject Type="Embed" ProgID="Equation.DSMT4" ShapeID="_x0000_i1029" DrawAspect="Content" ObjectID="_1547283512" r:id="rId16"/>
        </w:object>
      </w:r>
      <w:r w:rsidR="00D62EA9" w:rsidRPr="00DB1615">
        <w:rPr>
          <w:rFonts w:ascii="Times New Roman" w:eastAsia="Times New Roman" w:hAnsi="Times New Roman"/>
          <w:sz w:val="24"/>
          <w:szCs w:val="24"/>
        </w:rPr>
        <w:t xml:space="preserve">   </w:t>
      </w:r>
      <w:r w:rsidR="00993A02">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MACROBUTTON MTPlaceRef \* MERGEFORMAT </w:instrText>
      </w:r>
      <w:r w:rsidR="00993A02">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SEQ MTEqn \h \* MERGEFORMAT </w:instrText>
      </w:r>
      <w:r w:rsidR="00993A02">
        <w:rPr>
          <w:rFonts w:ascii="Times New Roman" w:eastAsia="Times New Roman" w:hAnsi="Times New Roman"/>
          <w:sz w:val="24"/>
          <w:szCs w:val="24"/>
        </w:rPr>
        <w:fldChar w:fldCharType="end"/>
      </w:r>
      <w:r>
        <w:rPr>
          <w:rFonts w:ascii="Times New Roman" w:eastAsia="Times New Roman" w:hAnsi="Times New Roman"/>
          <w:sz w:val="24"/>
          <w:szCs w:val="24"/>
        </w:rPr>
        <w:instrText>(S</w:instrText>
      </w:r>
      <w:r w:rsidR="00CB65F1">
        <w:fldChar w:fldCharType="begin"/>
      </w:r>
      <w:r w:rsidR="00CB65F1">
        <w:instrText xml:space="preserve"> SEQ MTEqn \c \* Arabic \* MERGEFORMAT </w:instrText>
      </w:r>
      <w:r w:rsidR="00CB65F1">
        <w:fldChar w:fldCharType="separate"/>
      </w:r>
      <w:r>
        <w:rPr>
          <w:rFonts w:ascii="Times New Roman" w:eastAsia="Times New Roman" w:hAnsi="Times New Roman"/>
          <w:noProof/>
          <w:sz w:val="24"/>
          <w:szCs w:val="24"/>
        </w:rPr>
        <w:instrText>7</w:instrText>
      </w:r>
      <w:r w:rsidR="00CB65F1">
        <w:rPr>
          <w:rFonts w:ascii="Times New Roman" w:eastAsia="Times New Roman" w:hAnsi="Times New Roman"/>
          <w:noProof/>
          <w:sz w:val="24"/>
          <w:szCs w:val="24"/>
        </w:rPr>
        <w:fldChar w:fldCharType="end"/>
      </w:r>
      <w:r>
        <w:rPr>
          <w:rFonts w:ascii="Times New Roman" w:eastAsia="Times New Roman" w:hAnsi="Times New Roman"/>
          <w:sz w:val="24"/>
          <w:szCs w:val="24"/>
        </w:rPr>
        <w:instrText>)</w:instrText>
      </w:r>
      <w:r w:rsidR="00993A02">
        <w:rPr>
          <w:rFonts w:ascii="Times New Roman" w:eastAsia="Times New Roman" w:hAnsi="Times New Roman"/>
          <w:sz w:val="24"/>
          <w:szCs w:val="24"/>
        </w:rPr>
        <w:fldChar w:fldCharType="end"/>
      </w:r>
    </w:p>
    <w:p w14:paraId="503515F3" w14:textId="77777777" w:rsidR="00D62EA9" w:rsidRPr="00936A70" w:rsidRDefault="00D62EA9" w:rsidP="00A33D24">
      <w:pPr>
        <w:spacing w:line="360" w:lineRule="auto"/>
        <w:jc w:val="both"/>
        <w:rPr>
          <w:rFonts w:eastAsia="Times New Roman"/>
        </w:rPr>
      </w:pPr>
      <w:r w:rsidRPr="00936A70">
        <w:rPr>
          <w:rFonts w:eastAsia="Times New Roman"/>
        </w:rPr>
        <w:t xml:space="preserve">where </w:t>
      </w:r>
      <w:r w:rsidRPr="00936A70">
        <w:rPr>
          <w:rFonts w:eastAsia="Times New Roman"/>
          <w:i/>
        </w:rPr>
        <w:t>C</w:t>
      </w:r>
      <w:r w:rsidRPr="00936A70">
        <w:rPr>
          <w:rFonts w:eastAsia="Times New Roman"/>
        </w:rPr>
        <w:t xml:space="preserve"> is the concentration of electron donors or acceptors and </w:t>
      </w:r>
      <w:r w:rsidRPr="00936A70">
        <w:rPr>
          <w:rFonts w:eastAsia="Times New Roman"/>
          <w:i/>
        </w:rPr>
        <w:t>Q</w:t>
      </w:r>
      <w:r w:rsidRPr="00936A70">
        <w:rPr>
          <w:rFonts w:eastAsia="Times New Roman"/>
        </w:rPr>
        <w:t xml:space="preserve"> is the ion activity product</w:t>
      </w:r>
      <w:r w:rsidR="00350BFF" w:rsidRPr="00936A70">
        <w:rPr>
          <w:rFonts w:eastAsia="Times New Roman"/>
        </w:rPr>
        <w:t>.</w:t>
      </w:r>
    </w:p>
    <w:p w14:paraId="1F97F095" w14:textId="77777777" w:rsidR="00D62EA9" w:rsidRPr="00936A70" w:rsidRDefault="00D62EA9" w:rsidP="00A33D24">
      <w:pPr>
        <w:spacing w:line="360" w:lineRule="auto"/>
        <w:jc w:val="both"/>
        <w:rPr>
          <w:rFonts w:eastAsia="Times New Roman" w:cs="Times New Roman"/>
        </w:rPr>
      </w:pPr>
      <w:r w:rsidRPr="00936A70">
        <w:rPr>
          <w:position w:val="-14"/>
        </w:rPr>
        <w:object w:dxaOrig="840" w:dyaOrig="380" w14:anchorId="15297B72">
          <v:shape id="_x0000_i1030" type="#_x0000_t75" style="width:43.1pt;height:18.55pt" o:ole="">
            <v:imagedata r:id="rId17" o:title=""/>
          </v:shape>
          <o:OLEObject Type="Embed" ProgID="Equation.DSMT4" ShapeID="_x0000_i1030" DrawAspect="Content" ObjectID="_1547283513" r:id="rId18"/>
        </w:object>
      </w:r>
      <w:r w:rsidRPr="00936A70">
        <w:rPr>
          <w:rFonts w:eastAsia="Times New Roman"/>
        </w:rPr>
        <w:t xml:space="preserve">and </w:t>
      </w:r>
      <w:r w:rsidR="00350BFF" w:rsidRPr="00936A70">
        <w:rPr>
          <w:position w:val="-14"/>
        </w:rPr>
        <w:object w:dxaOrig="859" w:dyaOrig="380" w14:anchorId="73717EB5">
          <v:shape id="_x0000_i1031" type="#_x0000_t75" style="width:43.1pt;height:18.55pt" o:ole="">
            <v:imagedata r:id="rId19" o:title=""/>
          </v:shape>
          <o:OLEObject Type="Embed" ProgID="Equation.DSMT4" ShapeID="_x0000_i1031" DrawAspect="Content" ObjectID="_1547283514" r:id="rId20"/>
        </w:object>
      </w:r>
      <w:r w:rsidRPr="00936A70">
        <w:rPr>
          <w:rFonts w:eastAsia="Times New Roman"/>
        </w:rPr>
        <w:t xml:space="preserve">were set to be 500 </w:t>
      </w:r>
      <w:r w:rsidR="00245476" w:rsidRPr="00936A70">
        <w:rPr>
          <w:rFonts w:eastAsia="Times New Roman"/>
        </w:rPr>
        <w:t>µ</w:t>
      </w:r>
      <w:r w:rsidR="00435D25" w:rsidRPr="00936A70">
        <w:rPr>
          <w:rFonts w:eastAsia="Times New Roman"/>
        </w:rPr>
        <w:t xml:space="preserve">M </w:t>
      </w:r>
      <w:r w:rsidR="00993A02" w:rsidRPr="00936A70">
        <w:rPr>
          <w:rFonts w:eastAsia="Times New Roman"/>
        </w:rPr>
        <w:fldChar w:fldCharType="begin"/>
      </w:r>
      <w:r w:rsidR="00435D25" w:rsidRPr="00936A70">
        <w:rPr>
          <w:rFonts w:eastAsia="Times New Roman"/>
        </w:rPr>
        <w:instrText xml:space="preserve"> ADDIN ZOTERO_ITEM CSL_CITATION {"citationID":"bc965jal5","properties":{"formattedCitation":"(Wegener and Boetius, 2009)","plainCitation":"(Wegener and Boetius, 2009)"},"citationItems":[{"id":3355,"uris":["http://zotero.org/users/1082502/items/969X6PKB"],"uri":["http://zotero.org/users/1082502/items/969X6PKB"],"itemData":{"id":3355,"type":"article-journal","title":"An experimental study on short-term changes in the anaerobic oxidation of methane in response to varying methane and sulfate fluxes","container-title":"Biogeosciences","page":"867-876","volume":"6","issue":"5","source":"Copernicus Online Journals","abstract":"A major role in regulation of global methane fluxes has been attributed to the process of anaerobic oxidation of methane (AOM), which is performed by consortia of methanotrophic archaea and sulfate reducing bacteria. An important question remains how these energy limited, slow growing microorganisms with generation times of 3–7 months respond to rapid natural variations in methane fluxes at cold seeps. We used an experimental flow-through column system filled with cold seep sediments naturally enriched in methanotrophic communities, to test their responses to short-term variations in methane and sulfate fluxes. At stable methane and sulfate concentrations of ~2 mM and 28 mM, respectively, we measured constant rates of AOM and sulfate reduction (SR) for up to 160 days of incubation. When percolated with methane-free medium, the anaerobic methanotrophs ceased to produce sulfide. After a starvation phase of 40 days, the addition of methane restored former AOM and SR rates immediately. At methane concentrations between 0–2.3 mM we measured a linear correlation between methane availability, AOM and SR. At constant fluid flow velocities of 30 m yr−1, ca. 50% of the methane was consumed by the anaerobic methanotrophic (ANME) population at all concentrations tested. Reducing the sulfate concentration from 28 to 1 mM, a decrease in AOM and SR by 50% was observed, and 45% of the methane was consumed. Hence, the marine anaerobic methanotrophs (ANME) are capable of oxidizing substantial amounts of methane over a wide and variable range of fluxes of the reaction educts.","DOI":"10.5194/bg-6-867-2009","ISSN":"1726-4189","journalAbbreviation":"Biogeosciences","author":[{"family":"Wegener","given":"G."},{"family":"Boetius","given":"A."}],"issued":{"date-parts":[["2009",5,18]]}}}],"schema":"https://github.com/citation-style-language/schema/raw/master/csl-citation.json"} </w:instrText>
      </w:r>
      <w:r w:rsidR="00993A02" w:rsidRPr="00936A70">
        <w:rPr>
          <w:rFonts w:eastAsia="Times New Roman"/>
        </w:rPr>
        <w:fldChar w:fldCharType="separate"/>
      </w:r>
      <w:r w:rsidR="00435D25" w:rsidRPr="00936A70">
        <w:rPr>
          <w:rFonts w:ascii="Calibri" w:hAnsi="Calibri"/>
        </w:rPr>
        <w:t>(Wegener and Boetius, 2009)</w:t>
      </w:r>
      <w:r w:rsidR="00993A02" w:rsidRPr="00936A70">
        <w:rPr>
          <w:rFonts w:eastAsia="Times New Roman"/>
        </w:rPr>
        <w:fldChar w:fldCharType="end"/>
      </w:r>
      <w:r w:rsidRPr="00936A70">
        <w:rPr>
          <w:rFonts w:eastAsia="Times New Roman"/>
        </w:rPr>
        <w:t xml:space="preserve"> and 5 mM </w:t>
      </w:r>
      <w:r w:rsidR="00993A02" w:rsidRPr="00936A70">
        <w:rPr>
          <w:rFonts w:eastAsia="Times New Roman"/>
        </w:rPr>
        <w:fldChar w:fldCharType="begin"/>
      </w:r>
      <w:r w:rsidR="00435D25" w:rsidRPr="00936A70">
        <w:rPr>
          <w:rFonts w:eastAsia="Times New Roman"/>
        </w:rPr>
        <w:instrText xml:space="preserve"> ADDIN ZOTERO_ITEM CSL_CITATION {"citationID":"19e6i3prvl","properties":{"formattedCitation":"(Nauhaus et al., 2002; Vavilin, 2012)","plainCitation":"(Nauhaus et al., 2002; Vavilin, 2012)"},"citationItems":[{"id":3157,"uris":["http://zotero.org/users/1082502/items/ARZE37D9"],"uri":["http://zotero.org/users/1082502/items/ARZE37D9"],"itemData":{"id":3157,"type":"article-journal","title":"In vitro demonstration of anaerobic oxidation of methane coupled to sulphate reduction in sediment from a marine gas hydrate area","container-title":"Environmental Microbiology","page":"296-305","volume":"4","issue":"5","source":"Wiley Online Library","abstract":"Anaerobic oxidation of methane (AOM) and sulphate reduction were examined in sediment samples from a marine gas hydrate area (Hydrate Ridge, NE Pacific). The sediment contained high numbers of microbial consortia consisting of organisms that affiliate with methanogenic archaea and with sulphate-reducing bacteria. Sediment samples incubated under strictly anoxic conditions in defined mineral medium (salinity as in seawater) produced sulphide from sulphate if methane was added as the sole organic substrate. No sulphide production occurred in control experiments without methane. Methane-dependent sulphide production was fastest between 4°C and 16°C, the average rate with 0.1 MPa (approximately 1 atm) methane being 2.5 μmol sulphide day−1 and (g dry mass sediment)−1. An increase of the methane pressure to 1.1 MPa (approximately 11 atm) resulted in a four to fivefold increase of the sulphide production rate. Quantitative measurements using a special anoxic incubation device without gas phase revealed continuous consumption of dissolved methane (from initially 3.2 to 0.7 mM) with simultaneous production of sulphide at a molar ratio of nearly 1:1. To test the response of the indigenous community to possible intermediates of AOM, molecular hydrogen, formate, acetate or methanol were added in the absence of methane; however, sulphide production from sulphate with any of these compounds was much slower than with methane. In the presence of methane, such additions neither stimulated nor inhibited sulphate reduction. Hence, the experiments did not provide evidence for one of these compounds acting as a free extracellular intermediate (intercellular shuttle) during AOM by the presently investigated consortia.","DOI":"10.1046/j.1462-2920.2002.00299.x","ISSN":"1462-2920","language":"en","author":[{"family":"Nauhaus","given":"Katja"},{"family":"Boetius","given":"Antje"},{"family":"Krüger","given":"Martin"},{"family":"Widdel","given":"Friedrich"}],"issued":{"date-parts":[["2002",5,1]]}}},{"id":3357,"uris":["http://zotero.org/users/1082502/items/78S2E66A"],"uri":["http://zotero.org/users/1082502/items/78S2E66A"],"itemData":{"id":3357,"type":"article-journal","title":"Estimating changes of isotopic fractionation based on chemical kinetics and microbial dynamics during anaerobic methane oxidation: apparent zero- and first-order kinetics at high and low initial methane concentrations","container-title":"Antonie van Leeuwenhoek","page":"375-383","volume":"103","issue":"2","source":"link.springer.com","abstract":"Changes in natural isotopic composition may be used to reveal metabolic pathways of substrate transformation by microbial communities (Vavilin in Ecol Model 240:84–92, 2012b). Anaerobic oxidation of methane (AOM) by sulfate has been described using a mathematical model based on chemical kinetics, microbial dynamics and equations for 13C isotope accumulation in products as well as their redistribution between substrate and products. Experimental data for two batch cultures that originated from microbial mats covering methane seep chimneys in the Black Sea, previously obtained by Seifert et al. (Org Geochem 37:1411–1419, 2006) and Holler et al. (Env Microbiol Reports 1(5):370–376, 2009), were used to model AOM. During long-time incubation, changes of isotope signatures in CH4 showed that in the Seifert et al. batch tests (low methane concentration), in contrast to the Holler et al. batch tests (high methane concentration), methane production occurred along with methane oxidation. In accordance with the model, apparent zero and first-order kinetics of methane oxidation were valid for the Holler et al. and Seifert et al. batch tests, respectively. The observed change of δ13CH4δ13CH4 \\delta {}^{13}{\\text{CH}}_{4} was explained by microbial kinetics reflecting that the rate is lower for heavy substrate microbial utilization when compared to light substrate microbial utilization. The model showed that small amounts of methanogenesis will change the carbon isotopic composition of methane because biogenic methane has a distinct isotopic composition and due to the large difference between the maximum specific rates of methane oxidation and production. The estimated biomass doubling time of methane-oxidizers for high and low methane concentration was 408/126 days and 4640/1160 days, respectively, depending on the value of the half-saturation constant K S (5 and 20 mM).","DOI":"10.1007/s10482-012-9818-8","ISSN":"0003-6072, 1572-9699","shortTitle":"Estimating changes of isotopic fractionation based on chemical kinetics and microbial dynamics during anaerobic methane oxidation","journalAbbreviation":"Antonie van Leeuwenhoek","language":"en","author":[{"family":"Vavilin","given":"V. A."}],"issued":{"date-parts":[["2012",9,26]]}}}],"schema":"https://github.com/citation-style-language/schema/raw/master/csl-citation.json"} </w:instrText>
      </w:r>
      <w:r w:rsidR="00993A02" w:rsidRPr="00936A70">
        <w:rPr>
          <w:rFonts w:eastAsia="Times New Roman"/>
        </w:rPr>
        <w:fldChar w:fldCharType="separate"/>
      </w:r>
      <w:r w:rsidR="00435D25" w:rsidRPr="00936A70">
        <w:rPr>
          <w:rFonts w:ascii="Calibri" w:hAnsi="Calibri"/>
        </w:rPr>
        <w:t>(Nauhaus et al., 2002; Vavilin, 2012)</w:t>
      </w:r>
      <w:r w:rsidR="00993A02" w:rsidRPr="00936A70">
        <w:rPr>
          <w:rFonts w:eastAsia="Times New Roman"/>
        </w:rPr>
        <w:fldChar w:fldCharType="end"/>
      </w:r>
      <w:r w:rsidRPr="00936A70">
        <w:rPr>
          <w:rFonts w:eastAsia="Times New Roman"/>
        </w:rPr>
        <w:t xml:space="preserve">, </w:t>
      </w:r>
      <w:r w:rsidRPr="00936A70">
        <w:rPr>
          <w:rFonts w:eastAsia="Times New Roman" w:cs="Times New Roman"/>
        </w:rPr>
        <w:t xml:space="preserve">respectively. </w:t>
      </w:r>
      <w:r w:rsidR="00350BFF" w:rsidRPr="00936A70">
        <w:rPr>
          <w:rFonts w:cs="Times New Roman"/>
          <w:position w:val="-12"/>
        </w:rPr>
        <w:object w:dxaOrig="540" w:dyaOrig="380" w14:anchorId="6416CBBB">
          <v:shape id="_x0000_i1032" type="#_x0000_t75" style="width:26.75pt;height:18.55pt" o:ole="">
            <v:imagedata r:id="rId21" o:title=""/>
          </v:shape>
          <o:OLEObject Type="Embed" ProgID="Equation.DSMT4" ShapeID="_x0000_i1032" DrawAspect="Content" ObjectID="_1547283515" r:id="rId22"/>
        </w:object>
      </w:r>
      <w:proofErr w:type="gramStart"/>
      <w:r w:rsidRPr="00936A70">
        <w:rPr>
          <w:rFonts w:cs="Times New Roman"/>
          <w:i/>
        </w:rPr>
        <w:t>,</w:t>
      </w:r>
      <w:r w:rsidRPr="00936A70">
        <w:rPr>
          <w:rFonts w:cs="Times New Roman"/>
        </w:rPr>
        <w:t xml:space="preserve"> </w:t>
      </w:r>
      <w:r w:rsidRPr="00936A70">
        <w:t xml:space="preserve"> </w:t>
      </w:r>
      <w:r w:rsidR="00350BFF" w:rsidRPr="00936A70">
        <w:rPr>
          <w:rFonts w:cs="Times New Roman"/>
        </w:rPr>
        <w:t>was</w:t>
      </w:r>
      <w:proofErr w:type="gramEnd"/>
      <w:r w:rsidRPr="00936A70">
        <w:rPr>
          <w:rFonts w:cs="Times New Roman"/>
        </w:rPr>
        <w:t xml:space="preserve"> obtained from fitting curves to our data</w:t>
      </w:r>
      <w:r w:rsidR="00350BFF" w:rsidRPr="00936A70">
        <w:rPr>
          <w:rFonts w:cs="Times New Roman"/>
        </w:rPr>
        <w:t>.</w:t>
      </w:r>
      <w:r w:rsidRPr="00936A70">
        <w:rPr>
          <w:rFonts w:cs="Times New Roman"/>
        </w:rPr>
        <w:t xml:space="preserve"> </w:t>
      </w:r>
    </w:p>
    <w:p w14:paraId="22F55940" w14:textId="77777777" w:rsidR="00D62EA9" w:rsidRDefault="00350BFF" w:rsidP="00A33D24">
      <w:pPr>
        <w:spacing w:line="360" w:lineRule="auto"/>
        <w:jc w:val="both"/>
        <w:rPr>
          <w:rFonts w:eastAsia="Times New Roman"/>
        </w:rPr>
      </w:pPr>
      <w:r w:rsidRPr="00936A70">
        <w:rPr>
          <w:rFonts w:eastAsia="Times New Roman"/>
        </w:rPr>
        <w:t xml:space="preserve">The four scenarios we assigned in this work are different with respect to the reactivity of organic matter, modes of sedimentation, initial conditions, and the time scale focused. Table S2 listed the different setup for the four scenarios. </w:t>
      </w:r>
    </w:p>
    <w:p w14:paraId="396DACEA" w14:textId="77777777" w:rsidR="00936A70" w:rsidRPr="00936A70" w:rsidRDefault="00936A70" w:rsidP="00D62EA9">
      <w:pPr>
        <w:spacing w:line="360" w:lineRule="auto"/>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65"/>
        <w:gridCol w:w="1857"/>
        <w:gridCol w:w="1857"/>
        <w:gridCol w:w="1858"/>
      </w:tblGrid>
      <w:tr w:rsidR="00350BFF" w14:paraId="2B34DCBF" w14:textId="77777777" w:rsidTr="00CB65F1">
        <w:tc>
          <w:tcPr>
            <w:tcW w:w="1951" w:type="dxa"/>
            <w:tcBorders>
              <w:top w:val="single" w:sz="4" w:space="0" w:color="auto"/>
              <w:bottom w:val="single" w:sz="4" w:space="0" w:color="auto"/>
            </w:tcBorders>
          </w:tcPr>
          <w:p w14:paraId="3F8F5D7B" w14:textId="77777777" w:rsidR="00350BFF" w:rsidRPr="00435D25" w:rsidRDefault="00350BFF" w:rsidP="008D2CC5">
            <w:pPr>
              <w:rPr>
                <w:b/>
              </w:rPr>
            </w:pPr>
          </w:p>
        </w:tc>
        <w:tc>
          <w:tcPr>
            <w:tcW w:w="1765" w:type="dxa"/>
            <w:tcBorders>
              <w:top w:val="single" w:sz="4" w:space="0" w:color="auto"/>
              <w:bottom w:val="single" w:sz="4" w:space="0" w:color="auto"/>
            </w:tcBorders>
          </w:tcPr>
          <w:p w14:paraId="7A0214AB" w14:textId="77777777" w:rsidR="00350BFF" w:rsidRPr="00435D25" w:rsidRDefault="00350BFF" w:rsidP="008D2CC5">
            <w:pPr>
              <w:rPr>
                <w:b/>
                <w:sz w:val="24"/>
              </w:rPr>
            </w:pPr>
            <w:bookmarkStart w:id="2" w:name="OLE_LINK1"/>
            <w:bookmarkStart w:id="3" w:name="OLE_LINK2"/>
            <w:bookmarkStart w:id="4" w:name="OLE_LINK3"/>
            <w:bookmarkStart w:id="5" w:name="OLE_LINK4"/>
            <w:bookmarkStart w:id="6" w:name="OLE_LINK5"/>
            <w:r w:rsidRPr="00435D25">
              <w:rPr>
                <w:b/>
                <w:sz w:val="24"/>
              </w:rPr>
              <w:t>Scenario 1</w:t>
            </w:r>
            <w:bookmarkEnd w:id="2"/>
            <w:bookmarkEnd w:id="3"/>
            <w:bookmarkEnd w:id="4"/>
            <w:bookmarkEnd w:id="5"/>
            <w:bookmarkEnd w:id="6"/>
          </w:p>
        </w:tc>
        <w:tc>
          <w:tcPr>
            <w:tcW w:w="1857" w:type="dxa"/>
            <w:tcBorders>
              <w:top w:val="single" w:sz="4" w:space="0" w:color="auto"/>
              <w:bottom w:val="single" w:sz="4" w:space="0" w:color="auto"/>
            </w:tcBorders>
          </w:tcPr>
          <w:p w14:paraId="3CDFCDEC" w14:textId="77777777" w:rsidR="00350BFF" w:rsidRPr="00435D25" w:rsidRDefault="00350BFF" w:rsidP="008D2CC5">
            <w:pPr>
              <w:rPr>
                <w:b/>
                <w:sz w:val="24"/>
              </w:rPr>
            </w:pPr>
            <w:r w:rsidRPr="00435D25">
              <w:rPr>
                <w:b/>
                <w:sz w:val="24"/>
              </w:rPr>
              <w:t>Scenario 2</w:t>
            </w:r>
          </w:p>
        </w:tc>
        <w:tc>
          <w:tcPr>
            <w:tcW w:w="1857" w:type="dxa"/>
            <w:tcBorders>
              <w:top w:val="single" w:sz="4" w:space="0" w:color="auto"/>
              <w:bottom w:val="single" w:sz="4" w:space="0" w:color="auto"/>
            </w:tcBorders>
          </w:tcPr>
          <w:p w14:paraId="70EB9C7D" w14:textId="77777777" w:rsidR="00350BFF" w:rsidRPr="00435D25" w:rsidRDefault="00350BFF" w:rsidP="008D2CC5">
            <w:pPr>
              <w:rPr>
                <w:b/>
                <w:sz w:val="24"/>
              </w:rPr>
            </w:pPr>
            <w:r w:rsidRPr="00435D25">
              <w:rPr>
                <w:b/>
                <w:sz w:val="24"/>
              </w:rPr>
              <w:t>Scenario 3</w:t>
            </w:r>
          </w:p>
        </w:tc>
        <w:tc>
          <w:tcPr>
            <w:tcW w:w="1858" w:type="dxa"/>
            <w:tcBorders>
              <w:top w:val="single" w:sz="4" w:space="0" w:color="auto"/>
              <w:bottom w:val="single" w:sz="4" w:space="0" w:color="auto"/>
            </w:tcBorders>
          </w:tcPr>
          <w:p w14:paraId="19DF6BBC" w14:textId="77777777" w:rsidR="00350BFF" w:rsidRPr="00435D25" w:rsidRDefault="00350BFF" w:rsidP="008D2CC5">
            <w:pPr>
              <w:rPr>
                <w:b/>
                <w:sz w:val="24"/>
              </w:rPr>
            </w:pPr>
            <w:r w:rsidRPr="00435D25">
              <w:rPr>
                <w:b/>
                <w:sz w:val="24"/>
              </w:rPr>
              <w:t>Scenario 4</w:t>
            </w:r>
          </w:p>
        </w:tc>
      </w:tr>
      <w:tr w:rsidR="00350BFF" w14:paraId="0DA11EE5" w14:textId="77777777" w:rsidTr="00CB65F1">
        <w:tc>
          <w:tcPr>
            <w:tcW w:w="1951" w:type="dxa"/>
            <w:tcBorders>
              <w:top w:val="single" w:sz="4" w:space="0" w:color="auto"/>
            </w:tcBorders>
          </w:tcPr>
          <w:p w14:paraId="26054FE0" w14:textId="77777777" w:rsidR="00350BFF" w:rsidRDefault="00350BFF" w:rsidP="008D2CC5">
            <w:r>
              <w:t>Top boundary condition</w:t>
            </w:r>
          </w:p>
          <w:p w14:paraId="34D5F89A" w14:textId="77777777" w:rsidR="008569A7" w:rsidRDefault="008569A7" w:rsidP="008D2CC5"/>
        </w:tc>
        <w:tc>
          <w:tcPr>
            <w:tcW w:w="1765" w:type="dxa"/>
            <w:tcBorders>
              <w:top w:val="single" w:sz="4" w:space="0" w:color="auto"/>
            </w:tcBorders>
          </w:tcPr>
          <w:p w14:paraId="0FAEF694" w14:textId="77777777" w:rsidR="00350BFF" w:rsidRDefault="00350BFF" w:rsidP="008D2CC5">
            <w:bookmarkStart w:id="7" w:name="OLE_LINK6"/>
            <w:bookmarkStart w:id="8" w:name="OLE_LINK7"/>
            <w:bookmarkStart w:id="9" w:name="OLE_LINK8"/>
            <w:bookmarkStart w:id="10" w:name="OLE_LINK13"/>
            <w:bookmarkStart w:id="11" w:name="OLE_LINK14"/>
            <w:bookmarkStart w:id="12" w:name="OLE_LINK15"/>
            <w:r>
              <w:t>Topmost measured values</w:t>
            </w:r>
            <w:bookmarkEnd w:id="7"/>
            <w:bookmarkEnd w:id="8"/>
            <w:bookmarkEnd w:id="9"/>
            <w:bookmarkEnd w:id="10"/>
            <w:bookmarkEnd w:id="11"/>
            <w:bookmarkEnd w:id="12"/>
          </w:p>
        </w:tc>
        <w:tc>
          <w:tcPr>
            <w:tcW w:w="1857" w:type="dxa"/>
            <w:tcBorders>
              <w:top w:val="single" w:sz="4" w:space="0" w:color="auto"/>
            </w:tcBorders>
          </w:tcPr>
          <w:p w14:paraId="46363BF2" w14:textId="77777777" w:rsidR="00350BFF" w:rsidRDefault="00350BFF" w:rsidP="008D2CC5">
            <w:r>
              <w:t>Topmost measured values</w:t>
            </w:r>
          </w:p>
        </w:tc>
        <w:tc>
          <w:tcPr>
            <w:tcW w:w="1857" w:type="dxa"/>
            <w:tcBorders>
              <w:top w:val="single" w:sz="4" w:space="0" w:color="auto"/>
            </w:tcBorders>
          </w:tcPr>
          <w:p w14:paraId="29A684E3" w14:textId="77777777" w:rsidR="00350BFF" w:rsidRDefault="00350BFF" w:rsidP="008D2CC5">
            <w:r>
              <w:t>Topmost measured values</w:t>
            </w:r>
          </w:p>
        </w:tc>
        <w:tc>
          <w:tcPr>
            <w:tcW w:w="1858" w:type="dxa"/>
            <w:tcBorders>
              <w:top w:val="single" w:sz="4" w:space="0" w:color="auto"/>
            </w:tcBorders>
          </w:tcPr>
          <w:p w14:paraId="7444C75D" w14:textId="77777777" w:rsidR="00350BFF" w:rsidRDefault="00350BFF" w:rsidP="008D2CC5">
            <w:r>
              <w:t>Topmost measured values</w:t>
            </w:r>
          </w:p>
        </w:tc>
      </w:tr>
      <w:tr w:rsidR="00350BFF" w14:paraId="5975D64F" w14:textId="77777777" w:rsidTr="00CB65F1">
        <w:tc>
          <w:tcPr>
            <w:tcW w:w="1951" w:type="dxa"/>
          </w:tcPr>
          <w:p w14:paraId="792ADE13" w14:textId="77777777" w:rsidR="00350BFF" w:rsidRDefault="00350BFF" w:rsidP="008D2CC5">
            <w:r>
              <w:t>Bottom boundary condition</w:t>
            </w:r>
          </w:p>
          <w:p w14:paraId="7C968984" w14:textId="77777777" w:rsidR="008569A7" w:rsidRDefault="008569A7" w:rsidP="008D2CC5"/>
        </w:tc>
        <w:tc>
          <w:tcPr>
            <w:tcW w:w="1765" w:type="dxa"/>
          </w:tcPr>
          <w:p w14:paraId="36268EA8" w14:textId="77777777" w:rsidR="00350BFF" w:rsidRDefault="00350BFF" w:rsidP="008D2CC5">
            <w:bookmarkStart w:id="13" w:name="OLE_LINK9"/>
            <w:bookmarkStart w:id="14" w:name="OLE_LINK10"/>
            <w:bookmarkStart w:id="15" w:name="OLE_LINK11"/>
            <w:bookmarkStart w:id="16" w:name="OLE_LINK12"/>
            <w:r>
              <w:t>No flux boundary for sulfate</w:t>
            </w:r>
            <w:bookmarkEnd w:id="13"/>
            <w:bookmarkEnd w:id="14"/>
            <w:bookmarkEnd w:id="15"/>
            <w:bookmarkEnd w:id="16"/>
          </w:p>
        </w:tc>
        <w:tc>
          <w:tcPr>
            <w:tcW w:w="1857" w:type="dxa"/>
          </w:tcPr>
          <w:p w14:paraId="003B86B2" w14:textId="77777777" w:rsidR="00350BFF" w:rsidRDefault="00350BFF" w:rsidP="008D2CC5">
            <w:r>
              <w:t>No flux boundary for sulfate</w:t>
            </w:r>
          </w:p>
        </w:tc>
        <w:tc>
          <w:tcPr>
            <w:tcW w:w="1857" w:type="dxa"/>
          </w:tcPr>
          <w:p w14:paraId="06AB0EF8" w14:textId="77777777" w:rsidR="00350BFF" w:rsidRDefault="00350BFF" w:rsidP="008D2CC5">
            <w:r>
              <w:t>No flux boundary for sulfate</w:t>
            </w:r>
          </w:p>
        </w:tc>
        <w:tc>
          <w:tcPr>
            <w:tcW w:w="1858" w:type="dxa"/>
          </w:tcPr>
          <w:p w14:paraId="6B69EB54" w14:textId="77777777" w:rsidR="00350BFF" w:rsidRDefault="00350BFF" w:rsidP="008D2CC5">
            <w:r>
              <w:t>No flux boundary for sulfate</w:t>
            </w:r>
          </w:p>
        </w:tc>
      </w:tr>
      <w:tr w:rsidR="00350BFF" w14:paraId="6BA3FA84" w14:textId="77777777" w:rsidTr="00CB65F1">
        <w:tc>
          <w:tcPr>
            <w:tcW w:w="1951" w:type="dxa"/>
          </w:tcPr>
          <w:p w14:paraId="18AB71D6" w14:textId="77777777" w:rsidR="00350BFF" w:rsidRDefault="00350BFF" w:rsidP="008D2CC5">
            <w:r>
              <w:t>Initial condition</w:t>
            </w:r>
          </w:p>
        </w:tc>
        <w:tc>
          <w:tcPr>
            <w:tcW w:w="1765" w:type="dxa"/>
          </w:tcPr>
          <w:p w14:paraId="043AF01E" w14:textId="77777777" w:rsidR="00350BFF" w:rsidRDefault="00350BFF" w:rsidP="008D2CC5">
            <w:bookmarkStart w:id="17" w:name="OLE_LINK16"/>
            <w:bookmarkStart w:id="18" w:name="OLE_LINK17"/>
            <w:r>
              <w:t>Same as top boundary</w:t>
            </w:r>
            <w:bookmarkEnd w:id="17"/>
            <w:bookmarkEnd w:id="18"/>
          </w:p>
          <w:p w14:paraId="641A6C6A" w14:textId="77777777" w:rsidR="008569A7" w:rsidRDefault="008569A7" w:rsidP="008D2CC5"/>
        </w:tc>
        <w:tc>
          <w:tcPr>
            <w:tcW w:w="1857" w:type="dxa"/>
          </w:tcPr>
          <w:p w14:paraId="64BDFD37" w14:textId="77777777" w:rsidR="00350BFF" w:rsidRDefault="00350BFF" w:rsidP="008D2CC5">
            <w:r>
              <w:t>Same as top boundary</w:t>
            </w:r>
          </w:p>
        </w:tc>
        <w:tc>
          <w:tcPr>
            <w:tcW w:w="1857" w:type="dxa"/>
          </w:tcPr>
          <w:p w14:paraId="67A81798" w14:textId="77777777" w:rsidR="00350BFF" w:rsidRDefault="00350BFF" w:rsidP="008D2CC5">
            <w:bookmarkStart w:id="19" w:name="OLE_LINK18"/>
            <w:bookmarkStart w:id="20" w:name="OLE_LINK19"/>
            <w:bookmarkStart w:id="21" w:name="OLE_LINK20"/>
            <w:r>
              <w:t>The results from scenario 2</w:t>
            </w:r>
            <w:bookmarkEnd w:id="19"/>
            <w:bookmarkEnd w:id="20"/>
            <w:bookmarkEnd w:id="21"/>
          </w:p>
        </w:tc>
        <w:tc>
          <w:tcPr>
            <w:tcW w:w="1858" w:type="dxa"/>
          </w:tcPr>
          <w:p w14:paraId="369E22A6" w14:textId="77777777" w:rsidR="00350BFF" w:rsidRDefault="00350BFF" w:rsidP="008D2CC5">
            <w:r>
              <w:t>The results from scenario 2</w:t>
            </w:r>
          </w:p>
        </w:tc>
      </w:tr>
      <w:tr w:rsidR="00350BFF" w14:paraId="0E3E5794" w14:textId="77777777" w:rsidTr="00CB65F1">
        <w:tc>
          <w:tcPr>
            <w:tcW w:w="1951" w:type="dxa"/>
          </w:tcPr>
          <w:p w14:paraId="0CCE8D59" w14:textId="77777777" w:rsidR="00423DE7" w:rsidRDefault="00350BFF" w:rsidP="008D2CC5">
            <w:r>
              <w:t>Temporal scale</w:t>
            </w:r>
            <w:r w:rsidR="00423DE7">
              <w:t xml:space="preserve"> </w:t>
            </w:r>
          </w:p>
          <w:p w14:paraId="6B113851" w14:textId="77777777" w:rsidR="00350BFF" w:rsidRDefault="00423DE7" w:rsidP="008D2CC5">
            <w:r>
              <w:t>(yr)</w:t>
            </w:r>
          </w:p>
          <w:p w14:paraId="0EAA62FB" w14:textId="77777777" w:rsidR="008569A7" w:rsidRDefault="008569A7" w:rsidP="008D2CC5"/>
        </w:tc>
        <w:tc>
          <w:tcPr>
            <w:tcW w:w="1765" w:type="dxa"/>
          </w:tcPr>
          <w:p w14:paraId="39A3EBDC" w14:textId="77777777" w:rsidR="00350BFF" w:rsidRDefault="00350BFF" w:rsidP="008D2CC5">
            <w:bookmarkStart w:id="22" w:name="OLE_LINK21"/>
            <w:bookmarkStart w:id="23" w:name="OLE_LINK22"/>
            <w:bookmarkStart w:id="24" w:name="OLE_LINK23"/>
            <w:bookmarkStart w:id="25" w:name="OLE_LINK24"/>
            <w:r>
              <w:t>25</w:t>
            </w:r>
            <w:bookmarkEnd w:id="22"/>
            <w:bookmarkEnd w:id="23"/>
            <w:bookmarkEnd w:id="24"/>
            <w:bookmarkEnd w:id="25"/>
          </w:p>
        </w:tc>
        <w:tc>
          <w:tcPr>
            <w:tcW w:w="1857" w:type="dxa"/>
          </w:tcPr>
          <w:p w14:paraId="609C24FF" w14:textId="77777777" w:rsidR="00350BFF" w:rsidRDefault="00350BFF" w:rsidP="008D2CC5">
            <w:r>
              <w:t>25</w:t>
            </w:r>
          </w:p>
        </w:tc>
        <w:tc>
          <w:tcPr>
            <w:tcW w:w="1857" w:type="dxa"/>
          </w:tcPr>
          <w:p w14:paraId="61442ED0" w14:textId="77777777" w:rsidR="00350BFF" w:rsidRDefault="00350BFF" w:rsidP="008D2CC5">
            <w:r>
              <w:t xml:space="preserve">12.5 </w:t>
            </w:r>
          </w:p>
        </w:tc>
        <w:tc>
          <w:tcPr>
            <w:tcW w:w="1858" w:type="dxa"/>
          </w:tcPr>
          <w:p w14:paraId="0FC4DC26" w14:textId="77777777" w:rsidR="00350BFF" w:rsidRDefault="00350BFF" w:rsidP="008D2CC5">
            <w:r>
              <w:t>0.25</w:t>
            </w:r>
          </w:p>
        </w:tc>
      </w:tr>
      <w:tr w:rsidR="00350BFF" w14:paraId="705409B8" w14:textId="77777777" w:rsidTr="00CB65F1">
        <w:tc>
          <w:tcPr>
            <w:tcW w:w="1951" w:type="dxa"/>
          </w:tcPr>
          <w:p w14:paraId="08B27DF8" w14:textId="77777777" w:rsidR="00423DE7" w:rsidRDefault="00350BFF" w:rsidP="008D2CC5">
            <w:r>
              <w:t>Depth scale</w:t>
            </w:r>
            <w:r w:rsidR="00423DE7">
              <w:t xml:space="preserve"> </w:t>
            </w:r>
          </w:p>
          <w:p w14:paraId="42974539" w14:textId="77777777" w:rsidR="00350BFF" w:rsidRDefault="00423DE7" w:rsidP="008D2CC5">
            <w:r>
              <w:lastRenderedPageBreak/>
              <w:t>(cm)</w:t>
            </w:r>
          </w:p>
          <w:p w14:paraId="4047630A" w14:textId="77777777" w:rsidR="008569A7" w:rsidRDefault="008569A7" w:rsidP="008D2CC5"/>
        </w:tc>
        <w:tc>
          <w:tcPr>
            <w:tcW w:w="1765" w:type="dxa"/>
          </w:tcPr>
          <w:p w14:paraId="0DAF4D7A" w14:textId="77777777" w:rsidR="00350BFF" w:rsidRDefault="00350BFF" w:rsidP="008D2CC5">
            <w:bookmarkStart w:id="26" w:name="OLE_LINK25"/>
            <w:bookmarkStart w:id="27" w:name="OLE_LINK26"/>
            <w:bookmarkStart w:id="28" w:name="OLE_LINK27"/>
            <w:bookmarkStart w:id="29" w:name="OLE_LINK28"/>
            <w:bookmarkStart w:id="30" w:name="OLE_LINK29"/>
            <w:r>
              <w:lastRenderedPageBreak/>
              <w:t xml:space="preserve">20 </w:t>
            </w:r>
            <w:bookmarkEnd w:id="26"/>
            <w:bookmarkEnd w:id="27"/>
            <w:bookmarkEnd w:id="28"/>
            <w:bookmarkEnd w:id="29"/>
            <w:bookmarkEnd w:id="30"/>
          </w:p>
        </w:tc>
        <w:tc>
          <w:tcPr>
            <w:tcW w:w="1857" w:type="dxa"/>
          </w:tcPr>
          <w:p w14:paraId="193C08CE" w14:textId="77777777" w:rsidR="00350BFF" w:rsidRDefault="00350BFF" w:rsidP="008D2CC5">
            <w:r>
              <w:t>20</w:t>
            </w:r>
          </w:p>
        </w:tc>
        <w:tc>
          <w:tcPr>
            <w:tcW w:w="1857" w:type="dxa"/>
          </w:tcPr>
          <w:p w14:paraId="2F2A8541" w14:textId="77777777" w:rsidR="00350BFF" w:rsidRDefault="00350BFF" w:rsidP="00423DE7">
            <w:r>
              <w:t>20</w:t>
            </w:r>
          </w:p>
        </w:tc>
        <w:tc>
          <w:tcPr>
            <w:tcW w:w="1858" w:type="dxa"/>
          </w:tcPr>
          <w:p w14:paraId="0D46CDDB" w14:textId="77777777" w:rsidR="00350BFF" w:rsidRDefault="00350BFF" w:rsidP="008D2CC5">
            <w:r>
              <w:t>20</w:t>
            </w:r>
          </w:p>
        </w:tc>
      </w:tr>
      <w:tr w:rsidR="00350BFF" w14:paraId="38A9A7DF" w14:textId="77777777" w:rsidTr="00CB65F1">
        <w:tc>
          <w:tcPr>
            <w:tcW w:w="1951" w:type="dxa"/>
          </w:tcPr>
          <w:p w14:paraId="6305DCC4" w14:textId="77777777" w:rsidR="00423DE7" w:rsidRDefault="00A33D24" w:rsidP="008D2CC5">
            <w:r>
              <w:lastRenderedPageBreak/>
              <w:t>Theoretical m</w:t>
            </w:r>
            <w:r w:rsidR="00423DE7">
              <w:t xml:space="preserve">aximum </w:t>
            </w:r>
            <w:r w:rsidR="00350BFF">
              <w:t>OSR rate</w:t>
            </w:r>
            <w:r w:rsidR="00423DE7">
              <w:t xml:space="preserve"> </w:t>
            </w:r>
          </w:p>
          <w:p w14:paraId="72F32E08" w14:textId="77777777" w:rsidR="00350BFF" w:rsidRDefault="00423DE7" w:rsidP="00A33D24">
            <w:r>
              <w:t>(mol.kg</w:t>
            </w:r>
            <w:r w:rsidR="00A33D24">
              <w:t xml:space="preserve"> </w:t>
            </w:r>
            <w:r>
              <w:t>(H</w:t>
            </w:r>
            <w:r w:rsidRPr="00423DE7">
              <w:rPr>
                <w:vertAlign w:val="subscript"/>
              </w:rPr>
              <w:t>2</w:t>
            </w:r>
            <w:r>
              <w:t>O)</w:t>
            </w:r>
            <w:r w:rsidR="00A33D24">
              <w:t xml:space="preserve"> </w:t>
            </w:r>
            <w:r w:rsidR="00A33D24" w:rsidRPr="00A33D24">
              <w:rPr>
                <w:vertAlign w:val="superscript"/>
              </w:rPr>
              <w:t>-</w:t>
            </w:r>
            <w:r w:rsidR="00A33D24" w:rsidRPr="00423DE7">
              <w:rPr>
                <w:vertAlign w:val="superscript"/>
              </w:rPr>
              <w:t>1</w:t>
            </w:r>
            <w:r>
              <w:t>.yr</w:t>
            </w:r>
            <w:r w:rsidRPr="00423DE7">
              <w:rPr>
                <w:vertAlign w:val="superscript"/>
              </w:rPr>
              <w:t>-1</w:t>
            </w:r>
            <w:r w:rsidRPr="00423DE7">
              <w:t>)</w:t>
            </w:r>
          </w:p>
        </w:tc>
        <w:tc>
          <w:tcPr>
            <w:tcW w:w="1765" w:type="dxa"/>
          </w:tcPr>
          <w:p w14:paraId="7639D925" w14:textId="77777777" w:rsidR="00350BFF" w:rsidRPr="00C82CCD" w:rsidRDefault="00350BFF" w:rsidP="008D2CC5">
            <w:bookmarkStart w:id="31" w:name="OLE_LINK30"/>
            <w:bookmarkStart w:id="32" w:name="OLE_LINK31"/>
            <w:bookmarkStart w:id="33" w:name="OLE_LINK32"/>
            <w:r>
              <w:t>10</w:t>
            </w:r>
            <w:r w:rsidRPr="00C82CCD">
              <w:rPr>
                <w:vertAlign w:val="superscript"/>
              </w:rPr>
              <w:t>-6</w:t>
            </w:r>
            <w:bookmarkEnd w:id="31"/>
            <w:bookmarkEnd w:id="32"/>
            <w:bookmarkEnd w:id="33"/>
          </w:p>
        </w:tc>
        <w:tc>
          <w:tcPr>
            <w:tcW w:w="1857" w:type="dxa"/>
          </w:tcPr>
          <w:p w14:paraId="244C648B" w14:textId="77777777" w:rsidR="00350BFF" w:rsidRDefault="00350BFF" w:rsidP="008D2CC5">
            <w:r>
              <w:t>10</w:t>
            </w:r>
            <w:r w:rsidRPr="00C82CCD">
              <w:rPr>
                <w:vertAlign w:val="superscript"/>
              </w:rPr>
              <w:t>-6</w:t>
            </w:r>
            <w:r>
              <w:rPr>
                <w:vertAlign w:val="superscript"/>
              </w:rPr>
              <w:t>.5</w:t>
            </w:r>
          </w:p>
        </w:tc>
        <w:tc>
          <w:tcPr>
            <w:tcW w:w="1857" w:type="dxa"/>
          </w:tcPr>
          <w:p w14:paraId="21B9E4F7" w14:textId="77777777" w:rsidR="00350BFF" w:rsidRDefault="00350BFF" w:rsidP="008D2CC5">
            <w:bookmarkStart w:id="34" w:name="OLE_LINK33"/>
            <w:bookmarkStart w:id="35" w:name="OLE_LINK34"/>
            <w:bookmarkStart w:id="36" w:name="OLE_LINK35"/>
            <w:r>
              <w:t>10</w:t>
            </w:r>
            <w:r w:rsidRPr="00C82CCD">
              <w:rPr>
                <w:vertAlign w:val="superscript"/>
              </w:rPr>
              <w:t>-6</w:t>
            </w:r>
            <w:r>
              <w:t xml:space="preserve"> for the first 10 cm and 0 below</w:t>
            </w:r>
            <w:bookmarkEnd w:id="34"/>
            <w:bookmarkEnd w:id="35"/>
            <w:bookmarkEnd w:id="36"/>
          </w:p>
          <w:p w14:paraId="7391A19B" w14:textId="77777777" w:rsidR="008569A7" w:rsidRPr="00C82CCD" w:rsidRDefault="008569A7" w:rsidP="008D2CC5"/>
        </w:tc>
        <w:tc>
          <w:tcPr>
            <w:tcW w:w="1858" w:type="dxa"/>
          </w:tcPr>
          <w:p w14:paraId="34F1BB42" w14:textId="77777777" w:rsidR="00350BFF" w:rsidRDefault="00350BFF" w:rsidP="008D2CC5">
            <w:r>
              <w:t>10</w:t>
            </w:r>
            <w:r w:rsidRPr="00C82CCD">
              <w:rPr>
                <w:vertAlign w:val="superscript"/>
              </w:rPr>
              <w:t>-</w:t>
            </w:r>
            <w:r>
              <w:rPr>
                <w:vertAlign w:val="superscript"/>
              </w:rPr>
              <w:t>4.9</w:t>
            </w:r>
            <w:r>
              <w:t xml:space="preserve"> for the first 5 cm and 0 below</w:t>
            </w:r>
          </w:p>
        </w:tc>
      </w:tr>
      <w:tr w:rsidR="00350BFF" w14:paraId="2A0A2E77" w14:textId="77777777" w:rsidTr="00CB65F1">
        <w:tc>
          <w:tcPr>
            <w:tcW w:w="1951" w:type="dxa"/>
            <w:tcBorders>
              <w:bottom w:val="single" w:sz="4" w:space="0" w:color="auto"/>
            </w:tcBorders>
          </w:tcPr>
          <w:p w14:paraId="5F99E822" w14:textId="77777777" w:rsidR="00350BFF" w:rsidRDefault="00350BFF" w:rsidP="008D2CC5">
            <w:r>
              <w:t>Sedimentation rate</w:t>
            </w:r>
          </w:p>
        </w:tc>
        <w:tc>
          <w:tcPr>
            <w:tcW w:w="1765" w:type="dxa"/>
            <w:tcBorders>
              <w:bottom w:val="single" w:sz="4" w:space="0" w:color="auto"/>
            </w:tcBorders>
          </w:tcPr>
          <w:p w14:paraId="2E6B3D30" w14:textId="77777777" w:rsidR="00350BFF" w:rsidRDefault="00350BFF" w:rsidP="008D2CC5">
            <w:bookmarkStart w:id="37" w:name="OLE_LINK36"/>
            <w:bookmarkStart w:id="38" w:name="OLE_LINK37"/>
            <w:bookmarkStart w:id="39" w:name="OLE_LINK38"/>
            <w:r>
              <w:t>Constant sedimentation</w:t>
            </w:r>
            <w:bookmarkEnd w:id="37"/>
            <w:bookmarkEnd w:id="38"/>
            <w:bookmarkEnd w:id="39"/>
          </w:p>
        </w:tc>
        <w:tc>
          <w:tcPr>
            <w:tcW w:w="1857" w:type="dxa"/>
            <w:tcBorders>
              <w:bottom w:val="single" w:sz="4" w:space="0" w:color="auto"/>
            </w:tcBorders>
          </w:tcPr>
          <w:p w14:paraId="6317364C" w14:textId="77777777" w:rsidR="00350BFF" w:rsidRDefault="00350BFF" w:rsidP="008D2CC5">
            <w:r>
              <w:t>Constant sedimentation</w:t>
            </w:r>
          </w:p>
        </w:tc>
        <w:tc>
          <w:tcPr>
            <w:tcW w:w="1857" w:type="dxa"/>
            <w:tcBorders>
              <w:bottom w:val="single" w:sz="4" w:space="0" w:color="auto"/>
            </w:tcBorders>
          </w:tcPr>
          <w:p w14:paraId="0C8AF5FA" w14:textId="77777777" w:rsidR="00350BFF" w:rsidRDefault="00350BFF" w:rsidP="008D2CC5">
            <w:r>
              <w:t>Constant sedimentation</w:t>
            </w:r>
          </w:p>
        </w:tc>
        <w:tc>
          <w:tcPr>
            <w:tcW w:w="1858" w:type="dxa"/>
            <w:tcBorders>
              <w:bottom w:val="single" w:sz="4" w:space="0" w:color="auto"/>
            </w:tcBorders>
          </w:tcPr>
          <w:p w14:paraId="4A0B2EAB" w14:textId="77777777" w:rsidR="00350BFF" w:rsidRDefault="00350BFF" w:rsidP="008D2CC5">
            <w:r>
              <w:t>No sedimentation except for the instantaneous input of the first 5 cm layer</w:t>
            </w:r>
          </w:p>
        </w:tc>
      </w:tr>
    </w:tbl>
    <w:p w14:paraId="63A544A0" w14:textId="77777777" w:rsidR="00B53448" w:rsidRPr="00B53448" w:rsidRDefault="00B53448" w:rsidP="00423DE7">
      <w:pPr>
        <w:spacing w:line="360" w:lineRule="auto"/>
        <w:jc w:val="right"/>
        <w:rPr>
          <w:rFonts w:eastAsia="Times New Roman"/>
          <w:b/>
          <w:sz w:val="2"/>
        </w:rPr>
      </w:pPr>
    </w:p>
    <w:p w14:paraId="56468D35" w14:textId="77777777" w:rsidR="00435D25" w:rsidRPr="00936A70" w:rsidRDefault="00435D25" w:rsidP="00B864F1">
      <w:pPr>
        <w:spacing w:line="360" w:lineRule="auto"/>
        <w:outlineLvl w:val="0"/>
        <w:rPr>
          <w:rFonts w:eastAsia="Times New Roman"/>
        </w:rPr>
      </w:pPr>
      <w:r w:rsidRPr="00936A70">
        <w:rPr>
          <w:rFonts w:eastAsia="Times New Roman"/>
          <w:b/>
        </w:rPr>
        <w:t>Table 2</w:t>
      </w:r>
      <w:r w:rsidRPr="00936A70">
        <w:rPr>
          <w:rFonts w:eastAsia="Times New Roman"/>
        </w:rPr>
        <w:t>. Different conditions assigned for the four scenarios</w:t>
      </w:r>
      <w:r w:rsidR="00B25FDE">
        <w:rPr>
          <w:rFonts w:eastAsia="Times New Roman"/>
        </w:rPr>
        <w:t>.</w:t>
      </w:r>
    </w:p>
    <w:p w14:paraId="6BA41759" w14:textId="77777777" w:rsidR="00A33D24" w:rsidRDefault="00A33D24" w:rsidP="006B1ADB">
      <w:pPr>
        <w:spacing w:line="360" w:lineRule="auto"/>
        <w:rPr>
          <w:b/>
          <w:sz w:val="24"/>
        </w:rPr>
      </w:pPr>
    </w:p>
    <w:p w14:paraId="11209D28" w14:textId="77777777" w:rsidR="00B7568D" w:rsidRPr="00FF0046" w:rsidRDefault="00435D25" w:rsidP="00B864F1">
      <w:pPr>
        <w:spacing w:line="360" w:lineRule="auto"/>
        <w:outlineLvl w:val="0"/>
        <w:rPr>
          <w:b/>
          <w:sz w:val="24"/>
        </w:rPr>
      </w:pPr>
      <w:r w:rsidRPr="00FF0046">
        <w:rPr>
          <w:b/>
          <w:sz w:val="24"/>
        </w:rPr>
        <w:t>References</w:t>
      </w:r>
    </w:p>
    <w:p w14:paraId="2B39C9B2" w14:textId="77777777" w:rsidR="00B86AFD" w:rsidRPr="00B86AFD" w:rsidRDefault="000C0381" w:rsidP="00B86AFD">
      <w:pPr>
        <w:pStyle w:val="Bibliography"/>
        <w:rPr>
          <w:rFonts w:ascii="Calibri" w:hAnsi="Calibri"/>
          <w:lang w:val="nb-NO"/>
        </w:rPr>
      </w:pPr>
      <w:r w:rsidRPr="00B53448">
        <w:t xml:space="preserve"> </w:t>
      </w:r>
      <w:r w:rsidR="00993A02">
        <w:fldChar w:fldCharType="begin"/>
      </w:r>
      <w:r w:rsidR="00B86AFD">
        <w:instrText xml:space="preserve"> ADDIN ZOTERO_BIBL {"custom":[]} CSL_BIBLIOGRAPHY </w:instrText>
      </w:r>
      <w:r w:rsidR="00993A02">
        <w:fldChar w:fldCharType="separate"/>
      </w:r>
      <w:r w:rsidR="00B86AFD" w:rsidRPr="00B86AFD">
        <w:rPr>
          <w:rFonts w:ascii="Calibri" w:hAnsi="Calibri"/>
        </w:rPr>
        <w:t xml:space="preserve">Boudreau, B.P., 1997. Diagenetic models and their implementation: modelling transport and reactions in aquatic sediments. </w:t>
      </w:r>
      <w:r w:rsidR="00B86AFD" w:rsidRPr="00B86AFD">
        <w:rPr>
          <w:rFonts w:ascii="Calibri" w:hAnsi="Calibri"/>
          <w:lang w:val="nb-NO"/>
        </w:rPr>
        <w:t>Springer.</w:t>
      </w:r>
    </w:p>
    <w:p w14:paraId="62FB740C" w14:textId="77777777" w:rsidR="00B86AFD" w:rsidRPr="00B86AFD" w:rsidRDefault="00B86AFD" w:rsidP="00B86AFD">
      <w:pPr>
        <w:pStyle w:val="Bibliography"/>
        <w:rPr>
          <w:rFonts w:ascii="Calibri" w:hAnsi="Calibri"/>
        </w:rPr>
      </w:pPr>
      <w:r w:rsidRPr="00B86AFD">
        <w:rPr>
          <w:rFonts w:ascii="Calibri" w:hAnsi="Calibri"/>
          <w:lang w:val="nb-NO"/>
        </w:rPr>
        <w:t xml:space="preserve">Dale, A.W., Brüchert, V., Alperin, M., Regnier, P., 2009. </w:t>
      </w:r>
      <w:r w:rsidRPr="00B86AFD">
        <w:rPr>
          <w:rFonts w:ascii="Calibri" w:hAnsi="Calibri"/>
        </w:rPr>
        <w:t>An integrated sulfur isotope model for Namibian shelf sediments. Geochim. Cosmochim. Acta 73, 1924–1944. doi:10.1016/j.gca.2008.12.015</w:t>
      </w:r>
    </w:p>
    <w:p w14:paraId="639FEE03" w14:textId="77777777" w:rsidR="00B86AFD" w:rsidRPr="00B86AFD" w:rsidRDefault="00B86AFD" w:rsidP="00B86AFD">
      <w:pPr>
        <w:pStyle w:val="Bibliography"/>
        <w:rPr>
          <w:rFonts w:ascii="Calibri" w:hAnsi="Calibri"/>
        </w:rPr>
      </w:pPr>
      <w:r w:rsidRPr="00B86AFD">
        <w:rPr>
          <w:rFonts w:ascii="Calibri" w:hAnsi="Calibri"/>
        </w:rPr>
        <w:t>Farquhar, J., Johnston, D.T., Wing, B.A., Habicht, K.S., Canfield, D.E., Airieau, S., Thiemens, M.H., 2003. Multiple sulphur isotopic interpretations of biosynthetic pathways: implications for biological signatures in the sulphur isotope record. Geobiology 1, 27–36. doi:10.1046/j.1472-4669.2003.00007.x</w:t>
      </w:r>
    </w:p>
    <w:p w14:paraId="097ADA63" w14:textId="77777777" w:rsidR="00B86AFD" w:rsidRPr="00B86AFD" w:rsidRDefault="00B86AFD" w:rsidP="00B86AFD">
      <w:pPr>
        <w:pStyle w:val="Bibliography"/>
        <w:rPr>
          <w:rFonts w:ascii="Calibri" w:hAnsi="Calibri"/>
        </w:rPr>
      </w:pPr>
      <w:r w:rsidRPr="00B86AFD">
        <w:rPr>
          <w:rFonts w:ascii="Calibri" w:hAnsi="Calibri"/>
        </w:rPr>
        <w:t>Hong, W.-L., Sauer, S., Panieri, G., Ambrose, W.G., James, R.H., Plaza-Faverola, A., Schneider, A., 2016. Removal of methane through hydrological, microbial, and geochemical processes in the shallow sediments of pockmarks along eastern Vestnesa Ridge (Svalbard). Limnol. Oceanogr. n/a-n/a. doi:10.1002/lno.10299</w:t>
      </w:r>
    </w:p>
    <w:p w14:paraId="4918ADA7" w14:textId="77777777" w:rsidR="00B86AFD" w:rsidRPr="00B86AFD" w:rsidRDefault="00B86AFD" w:rsidP="00B86AFD">
      <w:pPr>
        <w:pStyle w:val="Bibliography"/>
        <w:rPr>
          <w:rFonts w:ascii="Calibri" w:hAnsi="Calibri"/>
        </w:rPr>
      </w:pPr>
      <w:r w:rsidRPr="00B86AFD">
        <w:rPr>
          <w:rFonts w:ascii="Calibri" w:hAnsi="Calibri"/>
        </w:rPr>
        <w:t>Hong, W.-L., Torres, M.E., Kim, J.-H., Choi, J., Bahk, J.-J., 2014. Towards quantifying the reaction network around the sulfate–methane-transition-zone in the Ulleung Basin, East Sea, with a kinetic modeling approach. Geochim. Cosmochim. Acta 140, 127–141. doi:10.1016/j.gca.2014.05.032</w:t>
      </w:r>
    </w:p>
    <w:p w14:paraId="52CAC785" w14:textId="77777777" w:rsidR="00B86AFD" w:rsidRPr="00B86AFD" w:rsidRDefault="00B86AFD" w:rsidP="00B86AFD">
      <w:pPr>
        <w:pStyle w:val="Bibliography"/>
        <w:rPr>
          <w:rFonts w:ascii="Calibri" w:hAnsi="Calibri"/>
        </w:rPr>
      </w:pPr>
      <w:r w:rsidRPr="00B86AFD">
        <w:rPr>
          <w:rFonts w:ascii="Calibri" w:hAnsi="Calibri"/>
        </w:rPr>
        <w:t>Middelburg, J.J., 1989. A simple rate model for organic matter decomposition in marine sediments. Geochim. Cosmochim. Acta 53, 1577–1581. doi:10.1016/0016-7037(89)90239-1</w:t>
      </w:r>
    </w:p>
    <w:p w14:paraId="485509B7" w14:textId="77777777" w:rsidR="00B86AFD" w:rsidRPr="00B86AFD" w:rsidRDefault="00B86AFD" w:rsidP="00B86AFD">
      <w:pPr>
        <w:pStyle w:val="Bibliography"/>
        <w:rPr>
          <w:rFonts w:ascii="Calibri" w:hAnsi="Calibri"/>
        </w:rPr>
      </w:pPr>
      <w:r w:rsidRPr="00B86AFD">
        <w:rPr>
          <w:rFonts w:ascii="Calibri" w:hAnsi="Calibri"/>
        </w:rPr>
        <w:t>Nauhaus, K., Boetius, A., Krüger, M., Widdel, F., 2002. In vitro demonstration of anaerobic oxidation of methane coupled to sulphate reduction in sediment from a marine gas hydrate area. Environ. Microbiol. 4, 296–305. doi:10.1046/j.1462-2920.2002.00299.x</w:t>
      </w:r>
    </w:p>
    <w:p w14:paraId="01628781" w14:textId="77777777" w:rsidR="00B86AFD" w:rsidRPr="00B86AFD" w:rsidRDefault="00B86AFD" w:rsidP="00B86AFD">
      <w:pPr>
        <w:pStyle w:val="Bibliography"/>
        <w:rPr>
          <w:rFonts w:ascii="Calibri" w:hAnsi="Calibri"/>
        </w:rPr>
      </w:pPr>
      <w:r w:rsidRPr="00B86AFD">
        <w:rPr>
          <w:rFonts w:ascii="Calibri" w:hAnsi="Calibri"/>
        </w:rPr>
        <w:t>Steefel, C.I., 2009. CrunchFlow. Softw. Model. Multicomponent React. Flow Transp. User’s Man. Lawrence Berkeley Natl. Lab. Berkeley USA.</w:t>
      </w:r>
    </w:p>
    <w:p w14:paraId="3BF5010F" w14:textId="77777777" w:rsidR="00B86AFD" w:rsidRPr="00B86AFD" w:rsidRDefault="00B86AFD" w:rsidP="00B86AFD">
      <w:pPr>
        <w:pStyle w:val="Bibliography"/>
        <w:rPr>
          <w:rFonts w:ascii="Calibri" w:hAnsi="Calibri"/>
        </w:rPr>
      </w:pPr>
      <w:r w:rsidRPr="00B86AFD">
        <w:rPr>
          <w:rFonts w:ascii="Calibri" w:hAnsi="Calibri"/>
        </w:rPr>
        <w:t>Vavilin, V.A., 2012. Estimating changes of isotopic fractionation based on chemical kinetics and microbial dynamics during anaerobic methane oxidation: apparent zero- and first-order kinetics at high and low initial methane concentrations. Antonie Van Leeuwenhoek 103, 375–383. doi:10.1007/s10482-012-9818-8</w:t>
      </w:r>
    </w:p>
    <w:p w14:paraId="413661D6" w14:textId="77777777" w:rsidR="00B86AFD" w:rsidRPr="00B86AFD" w:rsidRDefault="00B86AFD" w:rsidP="00B86AFD">
      <w:pPr>
        <w:pStyle w:val="Bibliography"/>
        <w:rPr>
          <w:rFonts w:ascii="Calibri" w:hAnsi="Calibri"/>
        </w:rPr>
      </w:pPr>
      <w:r w:rsidRPr="00B86AFD">
        <w:rPr>
          <w:rFonts w:ascii="Calibri" w:hAnsi="Calibri"/>
        </w:rPr>
        <w:t>Wegener, G., Boetius, A., 2009. An experimental study on short-term changes in the anaerobic oxidation of methane in response to varying methane and sulfate fluxes. Biogeosciences 6, 867–876. doi:10.5194/bg-6-867-2009</w:t>
      </w:r>
    </w:p>
    <w:p w14:paraId="5AC2EF09" w14:textId="3DAC84F8" w:rsidR="00FE2708" w:rsidRDefault="00993A02" w:rsidP="00CB65F1">
      <w:pPr>
        <w:spacing w:line="360" w:lineRule="auto"/>
      </w:pPr>
      <w:r>
        <w:fldChar w:fldCharType="end"/>
      </w:r>
      <w:bookmarkStart w:id="40" w:name="_GoBack"/>
      <w:bookmarkEnd w:id="40"/>
    </w:p>
    <w:sectPr w:rsidR="00FE2708" w:rsidSect="009E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hyphenationZone w:val="425"/>
  <w:characterSpacingControl w:val="doNotCompress"/>
  <w:compat>
    <w:compatSetting w:name="compatibilityMode" w:uri="http://schemas.microsoft.com/office/word" w:val="12"/>
  </w:compat>
  <w:rsids>
    <w:rsidRoot w:val="002B2D9C"/>
    <w:rsid w:val="00053152"/>
    <w:rsid w:val="0009316B"/>
    <w:rsid w:val="000B464B"/>
    <w:rsid w:val="000C0381"/>
    <w:rsid w:val="000D3A71"/>
    <w:rsid w:val="000D5026"/>
    <w:rsid w:val="001B1142"/>
    <w:rsid w:val="001B2E36"/>
    <w:rsid w:val="001D4114"/>
    <w:rsid w:val="001E7BD7"/>
    <w:rsid w:val="00204BCF"/>
    <w:rsid w:val="00245476"/>
    <w:rsid w:val="00255231"/>
    <w:rsid w:val="002B2D9C"/>
    <w:rsid w:val="003321C6"/>
    <w:rsid w:val="00342270"/>
    <w:rsid w:val="00350BFF"/>
    <w:rsid w:val="003867DD"/>
    <w:rsid w:val="003B09D5"/>
    <w:rsid w:val="003B17FD"/>
    <w:rsid w:val="003F007C"/>
    <w:rsid w:val="003F79DB"/>
    <w:rsid w:val="00421AF2"/>
    <w:rsid w:val="00423DE7"/>
    <w:rsid w:val="00435D25"/>
    <w:rsid w:val="004B00B1"/>
    <w:rsid w:val="00551ECA"/>
    <w:rsid w:val="005915DC"/>
    <w:rsid w:val="005919B5"/>
    <w:rsid w:val="00597E39"/>
    <w:rsid w:val="005B3A5B"/>
    <w:rsid w:val="005E7E6E"/>
    <w:rsid w:val="00606B1A"/>
    <w:rsid w:val="00647F9A"/>
    <w:rsid w:val="006B1ADB"/>
    <w:rsid w:val="0079796E"/>
    <w:rsid w:val="00823E76"/>
    <w:rsid w:val="008259D0"/>
    <w:rsid w:val="008569A7"/>
    <w:rsid w:val="00875E02"/>
    <w:rsid w:val="008C4C36"/>
    <w:rsid w:val="008C507A"/>
    <w:rsid w:val="008E49B4"/>
    <w:rsid w:val="00936A70"/>
    <w:rsid w:val="00985EBB"/>
    <w:rsid w:val="00993A02"/>
    <w:rsid w:val="009D1908"/>
    <w:rsid w:val="009E5E21"/>
    <w:rsid w:val="00A0209F"/>
    <w:rsid w:val="00A33D24"/>
    <w:rsid w:val="00A4735F"/>
    <w:rsid w:val="00A876DE"/>
    <w:rsid w:val="00AE6406"/>
    <w:rsid w:val="00B25FDE"/>
    <w:rsid w:val="00B53448"/>
    <w:rsid w:val="00B7568D"/>
    <w:rsid w:val="00B864F1"/>
    <w:rsid w:val="00B86AFD"/>
    <w:rsid w:val="00BE4093"/>
    <w:rsid w:val="00CB65F1"/>
    <w:rsid w:val="00D454BE"/>
    <w:rsid w:val="00D54956"/>
    <w:rsid w:val="00D62EA9"/>
    <w:rsid w:val="00D73368"/>
    <w:rsid w:val="00D84D58"/>
    <w:rsid w:val="00DA24C3"/>
    <w:rsid w:val="00E345F4"/>
    <w:rsid w:val="00E46AF7"/>
    <w:rsid w:val="00E658EE"/>
    <w:rsid w:val="00EA664C"/>
    <w:rsid w:val="00EC6EEC"/>
    <w:rsid w:val="00EF458B"/>
    <w:rsid w:val="00FC4BC7"/>
    <w:rsid w:val="00FE2708"/>
    <w:rsid w:val="00FF00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88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53152"/>
    <w:rPr>
      <w:rFonts w:ascii="Segoe UI" w:hAnsi="Segoe UI"/>
      <w:sz w:val="18"/>
      <w:szCs w:val="18"/>
    </w:rPr>
  </w:style>
  <w:style w:type="table" w:styleId="TableGrid">
    <w:name w:val="Table Grid"/>
    <w:basedOn w:val="TableNormal"/>
    <w:uiPriority w:val="39"/>
    <w:rsid w:val="00D5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rsid w:val="005E7E6E"/>
    <w:rPr>
      <w:rFonts w:ascii="Arial" w:eastAsia="Times New Roman" w:hAnsi="Arial" w:cs="Arial"/>
      <w:b/>
      <w:bCs/>
      <w:vanish/>
      <w:color w:val="FF0000"/>
      <w:sz w:val="20"/>
      <w:szCs w:val="20"/>
      <w:lang w:eastAsia="en-GB"/>
    </w:rPr>
  </w:style>
  <w:style w:type="character" w:styleId="CommentReference">
    <w:name w:val="annotation reference"/>
    <w:basedOn w:val="DefaultParagraphFont"/>
    <w:uiPriority w:val="99"/>
    <w:semiHidden/>
    <w:unhideWhenUsed/>
    <w:rsid w:val="00551ECA"/>
    <w:rPr>
      <w:sz w:val="16"/>
      <w:szCs w:val="16"/>
    </w:rPr>
  </w:style>
  <w:style w:type="paragraph" w:styleId="CommentText">
    <w:name w:val="annotation text"/>
    <w:basedOn w:val="Normal"/>
    <w:link w:val="CommentTextChar"/>
    <w:uiPriority w:val="99"/>
    <w:semiHidden/>
    <w:unhideWhenUsed/>
    <w:rsid w:val="00551ECA"/>
    <w:pPr>
      <w:spacing w:line="240" w:lineRule="auto"/>
    </w:pPr>
    <w:rPr>
      <w:sz w:val="20"/>
      <w:szCs w:val="20"/>
    </w:rPr>
  </w:style>
  <w:style w:type="character" w:customStyle="1" w:styleId="CommentTextChar">
    <w:name w:val="Comment Text Char"/>
    <w:basedOn w:val="DefaultParagraphFont"/>
    <w:link w:val="CommentText"/>
    <w:uiPriority w:val="99"/>
    <w:semiHidden/>
    <w:rsid w:val="00551ECA"/>
    <w:rPr>
      <w:sz w:val="20"/>
      <w:szCs w:val="20"/>
    </w:rPr>
  </w:style>
  <w:style w:type="paragraph" w:styleId="CommentSubject">
    <w:name w:val="annotation subject"/>
    <w:basedOn w:val="CommentText"/>
    <w:next w:val="CommentText"/>
    <w:link w:val="CommentSubjectChar"/>
    <w:uiPriority w:val="99"/>
    <w:semiHidden/>
    <w:unhideWhenUsed/>
    <w:rsid w:val="00551ECA"/>
    <w:rPr>
      <w:b/>
      <w:bCs/>
    </w:rPr>
  </w:style>
  <w:style w:type="character" w:customStyle="1" w:styleId="CommentSubjectChar">
    <w:name w:val="Comment Subject Char"/>
    <w:basedOn w:val="CommentTextChar"/>
    <w:link w:val="CommentSubject"/>
    <w:uiPriority w:val="99"/>
    <w:semiHidden/>
    <w:rsid w:val="00551ECA"/>
    <w:rPr>
      <w:b/>
      <w:bCs/>
      <w:sz w:val="20"/>
      <w:szCs w:val="20"/>
    </w:rPr>
  </w:style>
  <w:style w:type="paragraph" w:styleId="Bibliography">
    <w:name w:val="Bibliography"/>
    <w:basedOn w:val="Normal"/>
    <w:next w:val="Normal"/>
    <w:uiPriority w:val="37"/>
    <w:unhideWhenUsed/>
    <w:rsid w:val="00435D2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image" Target="media/image1.emf"/><Relationship Id="rId7" Type="http://schemas.openxmlformats.org/officeDocument/2006/relationships/image" Target="media/image2.wmf"/><Relationship Id="rId8"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cremiere_antoine\Dropbox\1-Todo\TOC%20accumulation%20(vers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emiere_antoine\Dropbox\1-Todo\TOC%20accumulation%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GB" sz="1200" b="0"/>
              <a:t>Porosity</a:t>
            </a:r>
          </a:p>
        </c:rich>
      </c:tx>
      <c:layout>
        <c:manualLayout>
          <c:xMode val="edge"/>
          <c:yMode val="edge"/>
          <c:x val="0.430452576406673"/>
          <c:y val="0.0373387644263408"/>
        </c:manualLayout>
      </c:layout>
      <c:overlay val="0"/>
    </c:title>
    <c:autoTitleDeleted val="0"/>
    <c:plotArea>
      <c:layout>
        <c:manualLayout>
          <c:layoutTarget val="inner"/>
          <c:xMode val="edge"/>
          <c:yMode val="edge"/>
          <c:x val="0.207304040698616"/>
          <c:y val="0.174598414505723"/>
          <c:w val="0.695198470561552"/>
          <c:h val="0.788062821067933"/>
        </c:manualLayout>
      </c:layout>
      <c:scatterChart>
        <c:scatterStyle val="lineMarker"/>
        <c:varyColors val="0"/>
        <c:ser>
          <c:idx val="1"/>
          <c:order val="0"/>
          <c:spPr>
            <a:ln w="28575">
              <a:noFill/>
            </a:ln>
          </c:spPr>
          <c:marker>
            <c:symbol val="circle"/>
            <c:size val="7"/>
            <c:spPr>
              <a:solidFill>
                <a:sysClr val="windowText" lastClr="000000"/>
              </a:solidFill>
              <a:ln>
                <a:noFill/>
              </a:ln>
            </c:spPr>
          </c:marker>
          <c:trendline>
            <c:trendlineType val="poly"/>
            <c:order val="2"/>
            <c:dispRSqr val="0"/>
            <c:dispEq val="0"/>
          </c:trendline>
          <c:xVal>
            <c:numRef>
              <c:f>'Final table'!$C$16:$C$21</c:f>
              <c:numCache>
                <c:formatCode>0.0000</c:formatCode>
                <c:ptCount val="6"/>
                <c:pt idx="0">
                  <c:v>0.951940000000001</c:v>
                </c:pt>
                <c:pt idx="1">
                  <c:v>0.9396425</c:v>
                </c:pt>
                <c:pt idx="2">
                  <c:v>0.922266785714282</c:v>
                </c:pt>
                <c:pt idx="3">
                  <c:v>0.913485714285714</c:v>
                </c:pt>
                <c:pt idx="4">
                  <c:v>0.897715714285715</c:v>
                </c:pt>
                <c:pt idx="5">
                  <c:v>0.873508928571429</c:v>
                </c:pt>
              </c:numCache>
            </c:numRef>
          </c:xVal>
          <c:yVal>
            <c:numRef>
              <c:f>'Final table'!$B$16:$B$21</c:f>
              <c:numCache>
                <c:formatCode>General</c:formatCode>
                <c:ptCount val="6"/>
                <c:pt idx="0">
                  <c:v>2.0</c:v>
                </c:pt>
                <c:pt idx="1">
                  <c:v>6.0</c:v>
                </c:pt>
                <c:pt idx="2">
                  <c:v>10.0</c:v>
                </c:pt>
                <c:pt idx="3">
                  <c:v>14.0</c:v>
                </c:pt>
                <c:pt idx="4">
                  <c:v>18.0</c:v>
                </c:pt>
                <c:pt idx="5">
                  <c:v>28.0</c:v>
                </c:pt>
              </c:numCache>
            </c:numRef>
          </c:yVal>
          <c:smooth val="0"/>
        </c:ser>
        <c:dLbls>
          <c:showLegendKey val="0"/>
          <c:showVal val="0"/>
          <c:showCatName val="0"/>
          <c:showSerName val="0"/>
          <c:showPercent val="0"/>
          <c:showBubbleSize val="0"/>
        </c:dLbls>
        <c:axId val="-1836756800"/>
        <c:axId val="-1836863760"/>
      </c:scatterChart>
      <c:valAx>
        <c:axId val="-1836756800"/>
        <c:scaling>
          <c:orientation val="minMax"/>
        </c:scaling>
        <c:delete val="0"/>
        <c:axPos val="t"/>
        <c:numFmt formatCode="0.00" sourceLinked="0"/>
        <c:majorTickMark val="out"/>
        <c:minorTickMark val="none"/>
        <c:tickLblPos val="nextTo"/>
        <c:txPr>
          <a:bodyPr/>
          <a:lstStyle/>
          <a:p>
            <a:pPr>
              <a:defRPr sz="900"/>
            </a:pPr>
            <a:endParaRPr lang="en-US"/>
          </a:p>
        </c:txPr>
        <c:crossAx val="-1836863760"/>
        <c:crosses val="autoZero"/>
        <c:crossBetween val="midCat"/>
      </c:valAx>
      <c:valAx>
        <c:axId val="-1836863760"/>
        <c:scaling>
          <c:orientation val="maxMin"/>
        </c:scaling>
        <c:delete val="0"/>
        <c:axPos val="l"/>
        <c:title>
          <c:tx>
            <c:rich>
              <a:bodyPr rot="-5400000" vert="horz"/>
              <a:lstStyle/>
              <a:p>
                <a:pPr>
                  <a:defRPr sz="1200" b="0"/>
                </a:pPr>
                <a:r>
                  <a:rPr lang="en-GB" sz="1200" b="0"/>
                  <a:t>Depth (cmbsf)</a:t>
                </a:r>
              </a:p>
            </c:rich>
          </c:tx>
          <c:layout>
            <c:manualLayout>
              <c:xMode val="edge"/>
              <c:yMode val="edge"/>
              <c:x val="0.00518073538680005"/>
              <c:y val="0.434176328773567"/>
            </c:manualLayout>
          </c:layout>
          <c:overlay val="0"/>
        </c:title>
        <c:numFmt formatCode="General" sourceLinked="1"/>
        <c:majorTickMark val="out"/>
        <c:minorTickMark val="none"/>
        <c:tickLblPos val="nextTo"/>
        <c:txPr>
          <a:bodyPr/>
          <a:lstStyle/>
          <a:p>
            <a:pPr>
              <a:defRPr sz="900"/>
            </a:pPr>
            <a:endParaRPr lang="en-US"/>
          </a:p>
        </c:txPr>
        <c:crossAx val="-1836756800"/>
        <c:crosses val="autoZero"/>
        <c:crossBetween val="midCat"/>
      </c:valAx>
    </c:plotArea>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GB" sz="1200" b="0"/>
              <a:t>Cl</a:t>
            </a:r>
            <a:r>
              <a:rPr lang="en-GB" sz="1200" b="0" baseline="30000"/>
              <a:t>-</a:t>
            </a:r>
            <a:r>
              <a:rPr lang="en-GB" sz="1200" b="0"/>
              <a:t> (mM)</a:t>
            </a:r>
          </a:p>
        </c:rich>
      </c:tx>
      <c:layout>
        <c:manualLayout>
          <c:xMode val="edge"/>
          <c:yMode val="edge"/>
          <c:x val="0.430452576406674"/>
          <c:y val="0.0373387644263408"/>
        </c:manualLayout>
      </c:layout>
      <c:overlay val="0"/>
    </c:title>
    <c:autoTitleDeleted val="0"/>
    <c:plotArea>
      <c:layout>
        <c:manualLayout>
          <c:layoutTarget val="inner"/>
          <c:xMode val="edge"/>
          <c:yMode val="edge"/>
          <c:x val="0.207304040698616"/>
          <c:y val="0.174598414505723"/>
          <c:w val="0.695198470561553"/>
          <c:h val="0.788062821067932"/>
        </c:manualLayout>
      </c:layout>
      <c:scatterChart>
        <c:scatterStyle val="lineMarker"/>
        <c:varyColors val="0"/>
        <c:ser>
          <c:idx val="0"/>
          <c:order val="1"/>
          <c:spPr>
            <a:ln w="28575">
              <a:noFill/>
            </a:ln>
          </c:spPr>
          <c:marker>
            <c:symbol val="diamond"/>
            <c:size val="9"/>
            <c:spPr>
              <a:solidFill>
                <a:schemeClr val="tx1">
                  <a:lumMod val="50000"/>
                  <a:lumOff val="50000"/>
                </a:schemeClr>
              </a:solidFill>
            </c:spPr>
          </c:marker>
          <c:xVal>
            <c:numRef>
              <c:f>'Final table'!$C$25:$C$38</c:f>
              <c:numCache>
                <c:formatCode>General</c:formatCode>
                <c:ptCount val="14"/>
                <c:pt idx="0">
                  <c:v>513.3991537376586</c:v>
                </c:pt>
                <c:pt idx="1">
                  <c:v>524.6826516220028</c:v>
                </c:pt>
                <c:pt idx="2">
                  <c:v>504.9365303243989</c:v>
                </c:pt>
                <c:pt idx="3">
                  <c:v>516.2200282087447</c:v>
                </c:pt>
                <c:pt idx="4">
                  <c:v>521.8617771509164</c:v>
                </c:pt>
                <c:pt idx="5">
                  <c:v>535.966149506347</c:v>
                </c:pt>
                <c:pt idx="6">
                  <c:v>527.5035260930879</c:v>
                </c:pt>
                <c:pt idx="7">
                  <c:v>544.428772919608</c:v>
                </c:pt>
                <c:pt idx="8">
                  <c:v>533.1452750352604</c:v>
                </c:pt>
                <c:pt idx="9">
                  <c:v>538.9210151481</c:v>
                </c:pt>
                <c:pt idx="10">
                  <c:v>538.787023977433</c:v>
                </c:pt>
                <c:pt idx="11">
                  <c:v>541.607898448519</c:v>
                </c:pt>
                <c:pt idx="12">
                  <c:v>544.428772919608</c:v>
                </c:pt>
                <c:pt idx="13">
                  <c:v>544.428772919608</c:v>
                </c:pt>
              </c:numCache>
            </c:numRef>
          </c:xVal>
          <c:yVal>
            <c:numRef>
              <c:f>'Final table'!$B$25:$B$38</c:f>
              <c:numCache>
                <c:formatCode>General</c:formatCode>
                <c:ptCount val="14"/>
                <c:pt idx="0">
                  <c:v>0.0</c:v>
                </c:pt>
                <c:pt idx="1">
                  <c:v>1.5</c:v>
                </c:pt>
                <c:pt idx="2">
                  <c:v>3.5</c:v>
                </c:pt>
                <c:pt idx="3">
                  <c:v>5.5</c:v>
                </c:pt>
                <c:pt idx="4">
                  <c:v>7.5</c:v>
                </c:pt>
                <c:pt idx="5">
                  <c:v>9.5</c:v>
                </c:pt>
                <c:pt idx="6">
                  <c:v>11.5</c:v>
                </c:pt>
                <c:pt idx="7">
                  <c:v>13.5</c:v>
                </c:pt>
                <c:pt idx="8">
                  <c:v>15.5</c:v>
                </c:pt>
                <c:pt idx="9">
                  <c:v>17.5</c:v>
                </c:pt>
                <c:pt idx="10">
                  <c:v>19.5</c:v>
                </c:pt>
                <c:pt idx="11">
                  <c:v>23.5</c:v>
                </c:pt>
                <c:pt idx="12">
                  <c:v>27.5</c:v>
                </c:pt>
                <c:pt idx="13">
                  <c:v>31.5</c:v>
                </c:pt>
              </c:numCache>
            </c:numRef>
          </c:yVal>
          <c:smooth val="0"/>
        </c:ser>
        <c:ser>
          <c:idx val="1"/>
          <c:order val="0"/>
          <c:spPr>
            <a:ln w="28575">
              <a:noFill/>
            </a:ln>
          </c:spPr>
          <c:marker>
            <c:symbol val="circle"/>
            <c:size val="7"/>
            <c:spPr>
              <a:solidFill>
                <a:sysClr val="windowText" lastClr="000000"/>
              </a:solidFill>
              <a:ln>
                <a:noFill/>
              </a:ln>
            </c:spPr>
          </c:marker>
          <c:xVal>
            <c:numRef>
              <c:f>'Final table'!$C$41:$C$54</c:f>
              <c:numCache>
                <c:formatCode>General</c:formatCode>
                <c:ptCount val="14"/>
                <c:pt idx="0">
                  <c:v>533.1452750352604</c:v>
                </c:pt>
                <c:pt idx="1">
                  <c:v>533.1452750352604</c:v>
                </c:pt>
                <c:pt idx="2">
                  <c:v>527.5035260930879</c:v>
                </c:pt>
                <c:pt idx="3">
                  <c:v>521.8617771509164</c:v>
                </c:pt>
                <c:pt idx="4">
                  <c:v>527.5035260930879</c:v>
                </c:pt>
                <c:pt idx="5">
                  <c:v>513.3991537376586</c:v>
                </c:pt>
                <c:pt idx="6">
                  <c:v>513.3991537376586</c:v>
                </c:pt>
                <c:pt idx="7">
                  <c:v>519.0409026798306</c:v>
                </c:pt>
              </c:numCache>
            </c:numRef>
          </c:xVal>
          <c:yVal>
            <c:numRef>
              <c:f>'Final table'!$B$41:$B$54</c:f>
              <c:numCache>
                <c:formatCode>General</c:formatCode>
                <c:ptCount val="14"/>
                <c:pt idx="0">
                  <c:v>0.0</c:v>
                </c:pt>
                <c:pt idx="1">
                  <c:v>1.5</c:v>
                </c:pt>
                <c:pt idx="2">
                  <c:v>3.5</c:v>
                </c:pt>
                <c:pt idx="3">
                  <c:v>5.5</c:v>
                </c:pt>
                <c:pt idx="4">
                  <c:v>7.5</c:v>
                </c:pt>
                <c:pt idx="5">
                  <c:v>9.5</c:v>
                </c:pt>
                <c:pt idx="6">
                  <c:v>11.5</c:v>
                </c:pt>
                <c:pt idx="7">
                  <c:v>14.5</c:v>
                </c:pt>
              </c:numCache>
            </c:numRef>
          </c:yVal>
          <c:smooth val="0"/>
        </c:ser>
        <c:dLbls>
          <c:showLegendKey val="0"/>
          <c:showVal val="0"/>
          <c:showCatName val="0"/>
          <c:showSerName val="0"/>
          <c:showPercent val="0"/>
          <c:showBubbleSize val="0"/>
        </c:dLbls>
        <c:axId val="-1836702160"/>
        <c:axId val="-1854224160"/>
      </c:scatterChart>
      <c:valAx>
        <c:axId val="-1836702160"/>
        <c:scaling>
          <c:orientation val="minMax"/>
          <c:min val="0.0"/>
        </c:scaling>
        <c:delete val="0"/>
        <c:axPos val="t"/>
        <c:numFmt formatCode="0.00" sourceLinked="0"/>
        <c:majorTickMark val="out"/>
        <c:minorTickMark val="none"/>
        <c:tickLblPos val="nextTo"/>
        <c:txPr>
          <a:bodyPr/>
          <a:lstStyle/>
          <a:p>
            <a:pPr>
              <a:defRPr sz="900"/>
            </a:pPr>
            <a:endParaRPr lang="en-US"/>
          </a:p>
        </c:txPr>
        <c:crossAx val="-1854224160"/>
        <c:crosses val="autoZero"/>
        <c:crossBetween val="midCat"/>
      </c:valAx>
      <c:valAx>
        <c:axId val="-1854224160"/>
        <c:scaling>
          <c:orientation val="maxMin"/>
        </c:scaling>
        <c:delete val="0"/>
        <c:axPos val="l"/>
        <c:title>
          <c:tx>
            <c:rich>
              <a:bodyPr rot="-5400000" vert="horz"/>
              <a:lstStyle/>
              <a:p>
                <a:pPr>
                  <a:defRPr sz="1200" b="0"/>
                </a:pPr>
                <a:r>
                  <a:rPr lang="en-GB" sz="1200" b="0"/>
                  <a:t>Depth (cmbsf)</a:t>
                </a:r>
              </a:p>
            </c:rich>
          </c:tx>
          <c:layout>
            <c:manualLayout>
              <c:xMode val="edge"/>
              <c:yMode val="edge"/>
              <c:x val="0.00518073538680005"/>
              <c:y val="0.434176328773567"/>
            </c:manualLayout>
          </c:layout>
          <c:overlay val="0"/>
        </c:title>
        <c:numFmt formatCode="General" sourceLinked="1"/>
        <c:majorTickMark val="out"/>
        <c:minorTickMark val="none"/>
        <c:tickLblPos val="nextTo"/>
        <c:txPr>
          <a:bodyPr/>
          <a:lstStyle/>
          <a:p>
            <a:pPr>
              <a:defRPr sz="900"/>
            </a:pPr>
            <a:endParaRPr lang="en-US"/>
          </a:p>
        </c:txPr>
        <c:crossAx val="-1836702160"/>
        <c:crosses val="autoZero"/>
        <c:crossBetween val="midCat"/>
      </c:valAx>
    </c:plotArea>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4871</Words>
  <Characters>27767</Characters>
  <Application>Microsoft Macintosh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NGU</Company>
  <LinksUpToDate>false</LinksUpToDate>
  <CharactersWithSpaces>32573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cremiere_antoine</dc:creator>
  <cp:lastModifiedBy>Microsoft Office User</cp:lastModifiedBy>
  <cp:revision>33</cp:revision>
  <dcterms:created xsi:type="dcterms:W3CDTF">2016-04-21T21:38:00Z</dcterms:created>
  <dcterms:modified xsi:type="dcterms:W3CDTF">2017-01-30T20:11:00Z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(S#E1)</vt:lpwstr>
  </property>
  <property fmtid="{D5CDD505-2E9C-101B-9397-08002B2CF9AE}" pid="5" name="MTCustomEquationNumber">
    <vt:lpwstr>1</vt:lpwstr>
  </property>
  <property fmtid="{D5CDD505-2E9C-101B-9397-08002B2CF9AE}" pid="6" name="ZOTERO_PREF_1">
    <vt:lpwstr>&lt;data data-version="3" zotero-version="4.0.29.10"&gt;&lt;session id="uhbLtl4b"/&gt;&lt;style id="http://www.zotero.org/styles/chemical-geology" hasBibliography="1" bibliographyStyleHasBeenSet="1"/&gt;&lt;prefs&gt;&lt;pref name="fieldType" value="Field"/&gt;&lt;pref name="storeReferenc</vt:lpwstr>
  </property>
  <property fmtid="{D5CDD505-2E9C-101B-9397-08002B2CF9AE}" pid="7" name="ZOTERO_PREF_2">
    <vt:lpwstr>es" value="true"/&gt;&lt;pref name="automaticJournalAbbreviations" value="true"/&gt;&lt;pref name="noteType" value=""/&gt;&lt;/prefs&gt;&lt;/data&gt;</vt:lpwstr>
  </property>
</Properties>
</file>